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EF2DAB" w:rsidRPr="00EF2DAB" w14:paraId="7A19597C" w14:textId="77777777" w:rsidTr="00A303F8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31687156" w14:textId="77777777" w:rsidR="00024164" w:rsidRPr="00EF2DAB" w:rsidRDefault="00024164" w:rsidP="00024164">
            <w:pPr>
              <w:jc w:val="center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ED0C4C4" w14:textId="77777777" w:rsidR="00024164" w:rsidRPr="00EF2DAB" w:rsidRDefault="00024164" w:rsidP="00024164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PÁGINA</w:t>
            </w:r>
          </w:p>
        </w:tc>
      </w:tr>
      <w:tr w:rsidR="00EF2DAB" w:rsidRPr="00EF2DAB" w14:paraId="1D230FC4" w14:textId="77777777" w:rsidTr="00A303F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98AD26C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DB75420" w14:textId="77777777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F2DAB" w:rsidRPr="00EF2DAB" w14:paraId="36178D60" w14:textId="77777777" w:rsidTr="00A303F8">
        <w:trPr>
          <w:trHeight w:val="469"/>
        </w:trPr>
        <w:tc>
          <w:tcPr>
            <w:tcW w:w="4439" w:type="pct"/>
            <w:vMerge/>
            <w:shd w:val="clear" w:color="auto" w:fill="auto"/>
            <w:hideMark/>
          </w:tcPr>
          <w:p w14:paraId="65209842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E7E15D0" w14:textId="77777777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2DAB" w:rsidRPr="00EF2DAB" w14:paraId="501D9C8B" w14:textId="77777777" w:rsidTr="00A303F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E3B1744" w14:textId="0AC283F5" w:rsidR="00024164" w:rsidRPr="00EF2DAB" w:rsidRDefault="00024164" w:rsidP="00114A9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BF84FE4" w14:textId="1BAB9E2A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EF2DAB" w:rsidRPr="00EF2DAB" w14:paraId="5A47008A" w14:textId="77777777" w:rsidTr="00A303F8">
        <w:trPr>
          <w:trHeight w:val="478"/>
        </w:trPr>
        <w:tc>
          <w:tcPr>
            <w:tcW w:w="4439" w:type="pct"/>
            <w:vMerge/>
            <w:shd w:val="clear" w:color="auto" w:fill="auto"/>
            <w:hideMark/>
          </w:tcPr>
          <w:p w14:paraId="1B0B5B9D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DC644B8" w14:textId="77777777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2DAB" w:rsidRPr="00EF2DAB" w14:paraId="48743008" w14:textId="77777777" w:rsidTr="00A303F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0EC82B9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C5FF62F" w14:textId="5A2B65A1" w:rsidR="00024164" w:rsidRPr="00EF2DAB" w:rsidRDefault="00024164" w:rsidP="00024164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ab/>
            </w:r>
            <w:r w:rsidR="00E7549A">
              <w:rPr>
                <w:rFonts w:ascii="Arial" w:hAnsi="Arial" w:cs="Arial"/>
                <w:b/>
              </w:rPr>
              <w:t>5</w:t>
            </w:r>
          </w:p>
        </w:tc>
      </w:tr>
      <w:tr w:rsidR="00EF2DAB" w:rsidRPr="00EF2DAB" w14:paraId="74786712" w14:textId="77777777" w:rsidTr="00A303F8">
        <w:trPr>
          <w:trHeight w:val="449"/>
        </w:trPr>
        <w:tc>
          <w:tcPr>
            <w:tcW w:w="4439" w:type="pct"/>
            <w:vMerge/>
            <w:shd w:val="clear" w:color="auto" w:fill="auto"/>
            <w:hideMark/>
          </w:tcPr>
          <w:p w14:paraId="2C637D45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FC99C26" w14:textId="77777777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2DAB" w:rsidRPr="00EF2DAB" w14:paraId="48B36A0B" w14:textId="77777777" w:rsidTr="00A303F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4A1714C0" w14:textId="12D5196A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5F72CF" w:rsidRPr="00EF2DAB">
              <w:rPr>
                <w:rFonts w:ascii="Arial" w:hAnsi="Arial" w:cs="Arial"/>
                <w:b/>
                <w:bCs/>
              </w:rPr>
              <w:t xml:space="preserve"> 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283E349" w14:textId="77777777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2DAB" w:rsidRPr="00EF2DAB" w14:paraId="56FC5448" w14:textId="77777777" w:rsidTr="00A303F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5F81206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8D8247B" w14:textId="77777777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2DAB" w:rsidRPr="00EF2DAB" w14:paraId="510B43EA" w14:textId="77777777" w:rsidTr="00A303F8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93A2094" w14:textId="77777777" w:rsidR="00024164" w:rsidRPr="00EF2DAB" w:rsidRDefault="00024164" w:rsidP="000241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EF2DAB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3600A01D" w14:textId="675233F7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bookmarkEnd w:id="0"/>
      <w:tr w:rsidR="00EF2DAB" w:rsidRPr="00EF2DAB" w14:paraId="2C586058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38393782" w14:textId="77777777" w:rsidR="00024164" w:rsidRPr="00EF2DAB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613455B" w14:textId="1D9C3A38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F2DAB" w:rsidRPr="00EF2DAB" w14:paraId="4A1735CF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5574D0DB" w14:textId="77777777" w:rsidR="00024164" w:rsidRPr="00EF2DAB" w:rsidRDefault="00024164" w:rsidP="00024164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7D7D46EF" w14:textId="19F4F1B0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EF2DAB" w:rsidRPr="00EF2DAB" w14:paraId="22F965F3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7778311E" w14:textId="77777777" w:rsidR="00024164" w:rsidRPr="00EF2DAB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590153D1" w14:textId="375D3178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EF2DAB" w:rsidRPr="00EF2DAB" w14:paraId="01912D57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54C8D9C4" w14:textId="77777777" w:rsidR="00024164" w:rsidRPr="00EF2DAB" w:rsidRDefault="00024164" w:rsidP="00024164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385720C6" w14:textId="774CE83F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EF2DAB" w:rsidRPr="00EF2DAB" w14:paraId="6DFF9064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39851B2D" w14:textId="77777777" w:rsidR="00024164" w:rsidRPr="00EF2DAB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42706C82" w14:textId="79ABBC6B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EF2DAB" w:rsidRPr="00EF2DAB" w14:paraId="64D766FA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00532C04" w14:textId="77777777" w:rsidR="00024164" w:rsidRPr="00EF2DAB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11CC4749" w14:textId="2C2759BA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EF2DAB" w:rsidRPr="00EF2DAB" w14:paraId="459FA163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36967A84" w14:textId="77777777" w:rsidR="00024164" w:rsidRPr="00EF2DAB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45E6E302" w14:textId="1A33D12E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1</w:t>
            </w:r>
          </w:p>
        </w:tc>
      </w:tr>
      <w:tr w:rsidR="00EF2DAB" w:rsidRPr="00EF2DAB" w14:paraId="381B91C6" w14:textId="77777777" w:rsidTr="00A303F8">
        <w:trPr>
          <w:trHeight w:val="329"/>
        </w:trPr>
        <w:tc>
          <w:tcPr>
            <w:tcW w:w="4439" w:type="pct"/>
            <w:shd w:val="clear" w:color="auto" w:fill="auto"/>
          </w:tcPr>
          <w:p w14:paraId="17FF2EC1" w14:textId="77777777" w:rsidR="00024164" w:rsidRPr="00EF2DAB" w:rsidRDefault="00024164" w:rsidP="000241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33B16925" w14:textId="3412515A" w:rsidR="00024164" w:rsidRPr="00EF2DAB" w:rsidRDefault="00024164" w:rsidP="00D1443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2</w:t>
            </w:r>
          </w:p>
        </w:tc>
      </w:tr>
      <w:tr w:rsidR="00EF2DAB" w:rsidRPr="00EF2DAB" w14:paraId="15E68349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14B430E6" w14:textId="77777777" w:rsidR="00024164" w:rsidRPr="00EF2DAB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5FC4A478" w14:textId="49EDA738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2</w:t>
            </w:r>
          </w:p>
        </w:tc>
      </w:tr>
      <w:tr w:rsidR="00EF2DAB" w:rsidRPr="00EF2DAB" w14:paraId="526118B9" w14:textId="77777777" w:rsidTr="00A303F8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7474C61" w14:textId="77777777" w:rsidR="00024164" w:rsidRPr="00EF2DAB" w:rsidRDefault="00024164" w:rsidP="000241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1549FC4F" w14:textId="2D1AF628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2</w:t>
            </w:r>
          </w:p>
        </w:tc>
      </w:tr>
      <w:tr w:rsidR="00EF2DAB" w:rsidRPr="00EF2DAB" w14:paraId="3B016307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133E2019" w14:textId="778BFFAD" w:rsidR="005F72CF" w:rsidRPr="00EF2DAB" w:rsidRDefault="005F72CF" w:rsidP="005F72CF">
            <w:pPr>
              <w:pStyle w:val="Prrafodelista"/>
              <w:numPr>
                <w:ilvl w:val="0"/>
                <w:numId w:val="27"/>
              </w:num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51621661" w14:textId="2F09121C" w:rsidR="005F72CF" w:rsidRPr="00EF2DAB" w:rsidRDefault="00E45170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3</w:t>
            </w:r>
          </w:p>
        </w:tc>
      </w:tr>
      <w:tr w:rsidR="00EF2DAB" w:rsidRPr="00EF2DAB" w14:paraId="65A5C8F7" w14:textId="77777777" w:rsidTr="00A303F8">
        <w:trPr>
          <w:trHeight w:val="667"/>
        </w:trPr>
        <w:tc>
          <w:tcPr>
            <w:tcW w:w="4439" w:type="pct"/>
            <w:shd w:val="clear" w:color="auto" w:fill="auto"/>
          </w:tcPr>
          <w:p w14:paraId="4CADDFDA" w14:textId="77777777" w:rsidR="00024164" w:rsidRPr="00EF2DAB" w:rsidRDefault="00024164" w:rsidP="005F72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lastRenderedPageBreak/>
              <w:t>II. INFORME INDIVIDUAL D</w:t>
            </w:r>
            <w:r w:rsidR="00D14434" w:rsidRPr="00EF2DAB">
              <w:rPr>
                <w:rFonts w:ascii="Arial" w:hAnsi="Arial" w:cs="Arial"/>
                <w:b/>
                <w:bCs/>
              </w:rPr>
              <w:t xml:space="preserve">E AUDITORÍA RELATIVO A </w:t>
            </w:r>
            <w:r w:rsidR="005F72CF" w:rsidRPr="00EF2DAB">
              <w:rPr>
                <w:rFonts w:ascii="Arial" w:hAnsi="Arial" w:cs="Arial"/>
                <w:b/>
                <w:bCs/>
              </w:rPr>
              <w:t>GASTOS PÚBLICOS</w:t>
            </w:r>
          </w:p>
          <w:p w14:paraId="5BF4B0DA" w14:textId="0E7F8214" w:rsidR="003952CD" w:rsidRPr="00EF2DAB" w:rsidRDefault="003952CD" w:rsidP="005F72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553176C2" w14:textId="77777777" w:rsidR="00024164" w:rsidRPr="00EF2DAB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F2DAB" w:rsidRPr="00EF2DAB" w14:paraId="29DED389" w14:textId="77777777" w:rsidTr="00A303F8">
        <w:trPr>
          <w:trHeight w:val="690"/>
        </w:trPr>
        <w:tc>
          <w:tcPr>
            <w:tcW w:w="4439" w:type="pct"/>
            <w:shd w:val="clear" w:color="auto" w:fill="auto"/>
          </w:tcPr>
          <w:p w14:paraId="241B996D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II.1.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51D9C170" w14:textId="68F477BE" w:rsidR="00024164" w:rsidRPr="00EF2DAB" w:rsidRDefault="00024164" w:rsidP="006062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3</w:t>
            </w:r>
          </w:p>
        </w:tc>
      </w:tr>
      <w:tr w:rsidR="00EF2DAB" w:rsidRPr="00EF2DAB" w14:paraId="4E051760" w14:textId="77777777" w:rsidTr="00A303F8">
        <w:trPr>
          <w:trHeight w:val="572"/>
        </w:trPr>
        <w:tc>
          <w:tcPr>
            <w:tcW w:w="4439" w:type="pct"/>
            <w:shd w:val="clear" w:color="auto" w:fill="auto"/>
          </w:tcPr>
          <w:p w14:paraId="6465ED2F" w14:textId="77777777" w:rsidR="00024164" w:rsidRPr="00EF2DAB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354909AE" w14:textId="775C17D6" w:rsidR="00024164" w:rsidRPr="00EF2DAB" w:rsidRDefault="00024164" w:rsidP="006062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3</w:t>
            </w:r>
          </w:p>
        </w:tc>
      </w:tr>
      <w:tr w:rsidR="00EF2DAB" w:rsidRPr="00EF2DAB" w14:paraId="31F8D5AC" w14:textId="77777777" w:rsidTr="00A303F8">
        <w:trPr>
          <w:trHeight w:val="566"/>
        </w:trPr>
        <w:tc>
          <w:tcPr>
            <w:tcW w:w="4439" w:type="pct"/>
            <w:shd w:val="clear" w:color="auto" w:fill="auto"/>
          </w:tcPr>
          <w:p w14:paraId="345E9C6F" w14:textId="77777777" w:rsidR="00024164" w:rsidRPr="00EF2DAB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CA43102" w14:textId="5799E40F" w:rsidR="00024164" w:rsidRPr="00EF2DAB" w:rsidRDefault="00024164" w:rsidP="006062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4</w:t>
            </w:r>
          </w:p>
        </w:tc>
      </w:tr>
      <w:tr w:rsidR="00EF2DAB" w:rsidRPr="00EF2DAB" w14:paraId="36E54487" w14:textId="77777777" w:rsidTr="00A303F8">
        <w:trPr>
          <w:trHeight w:val="560"/>
        </w:trPr>
        <w:tc>
          <w:tcPr>
            <w:tcW w:w="4439" w:type="pct"/>
            <w:shd w:val="clear" w:color="auto" w:fill="auto"/>
          </w:tcPr>
          <w:p w14:paraId="3229E6F3" w14:textId="77777777" w:rsidR="00024164" w:rsidRPr="00EF2DAB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0C8DCC5A" w14:textId="74B1F630" w:rsidR="00024164" w:rsidRPr="00EF2DAB" w:rsidRDefault="00024164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4</w:t>
            </w:r>
          </w:p>
        </w:tc>
      </w:tr>
      <w:tr w:rsidR="00EF2DAB" w:rsidRPr="00EF2DAB" w14:paraId="140623C8" w14:textId="77777777" w:rsidTr="00A303F8">
        <w:trPr>
          <w:trHeight w:val="575"/>
        </w:trPr>
        <w:tc>
          <w:tcPr>
            <w:tcW w:w="4439" w:type="pct"/>
            <w:shd w:val="clear" w:color="auto" w:fill="auto"/>
          </w:tcPr>
          <w:p w14:paraId="1482D2DA" w14:textId="77777777" w:rsidR="00024164" w:rsidRPr="00EF2DAB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79DFA692" w14:textId="5AB7F8E0" w:rsidR="00024164" w:rsidRPr="00EF2DAB" w:rsidRDefault="00024164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5</w:t>
            </w:r>
          </w:p>
        </w:tc>
      </w:tr>
      <w:tr w:rsidR="00EF2DAB" w:rsidRPr="00EF2DAB" w14:paraId="4B3F7C92" w14:textId="77777777" w:rsidTr="00A303F8">
        <w:trPr>
          <w:trHeight w:val="575"/>
        </w:trPr>
        <w:tc>
          <w:tcPr>
            <w:tcW w:w="4439" w:type="pct"/>
            <w:shd w:val="clear" w:color="auto" w:fill="auto"/>
          </w:tcPr>
          <w:p w14:paraId="4A976322" w14:textId="77777777" w:rsidR="00024164" w:rsidRPr="00EF2DAB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2CC2E106" w14:textId="2C9EAC63" w:rsidR="00024164" w:rsidRPr="00EF2DAB" w:rsidRDefault="00024164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6</w:t>
            </w:r>
          </w:p>
        </w:tc>
      </w:tr>
      <w:tr w:rsidR="00EF2DAB" w:rsidRPr="00EF2DAB" w14:paraId="1B6BB37C" w14:textId="77777777" w:rsidTr="00A303F8">
        <w:trPr>
          <w:trHeight w:val="568"/>
        </w:trPr>
        <w:tc>
          <w:tcPr>
            <w:tcW w:w="4439" w:type="pct"/>
            <w:shd w:val="clear" w:color="auto" w:fill="auto"/>
          </w:tcPr>
          <w:p w14:paraId="5D9ABB43" w14:textId="77777777" w:rsidR="00024164" w:rsidRPr="00EF2DAB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140EEB75" w14:textId="4C4E1FCA" w:rsidR="00024164" w:rsidRPr="00EF2DAB" w:rsidRDefault="00024164" w:rsidP="006062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1</w:t>
            </w:r>
            <w:r w:rsidR="00E7549A">
              <w:rPr>
                <w:rFonts w:ascii="Arial" w:hAnsi="Arial" w:cs="Arial"/>
                <w:b/>
              </w:rPr>
              <w:t>6</w:t>
            </w:r>
          </w:p>
        </w:tc>
      </w:tr>
      <w:tr w:rsidR="00EF2DAB" w:rsidRPr="00EF2DAB" w14:paraId="27B6CCCF" w14:textId="77777777" w:rsidTr="00A303F8">
        <w:trPr>
          <w:trHeight w:val="563"/>
        </w:trPr>
        <w:tc>
          <w:tcPr>
            <w:tcW w:w="4439" w:type="pct"/>
            <w:shd w:val="clear" w:color="auto" w:fill="auto"/>
          </w:tcPr>
          <w:p w14:paraId="0DD15692" w14:textId="77777777" w:rsidR="00024164" w:rsidRPr="00EF2DAB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2F2CD32" w14:textId="50345767" w:rsidR="00024164" w:rsidRPr="00EF2DAB" w:rsidRDefault="00E7549A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A21D6">
              <w:rPr>
                <w:rFonts w:ascii="Arial" w:hAnsi="Arial" w:cs="Arial"/>
                <w:b/>
              </w:rPr>
              <w:t>9</w:t>
            </w:r>
            <w:bookmarkStart w:id="1" w:name="_GoBack"/>
            <w:bookmarkEnd w:id="1"/>
          </w:p>
        </w:tc>
      </w:tr>
      <w:tr w:rsidR="00EF2DAB" w:rsidRPr="00EF2DAB" w14:paraId="07298D45" w14:textId="77777777" w:rsidTr="00A303F8">
        <w:trPr>
          <w:trHeight w:val="557"/>
        </w:trPr>
        <w:tc>
          <w:tcPr>
            <w:tcW w:w="4439" w:type="pct"/>
            <w:shd w:val="clear" w:color="auto" w:fill="auto"/>
          </w:tcPr>
          <w:p w14:paraId="2ADBEC47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520439C8" w14:textId="362563DA" w:rsidR="00024164" w:rsidRPr="00EF2DAB" w:rsidRDefault="003952CD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2</w:t>
            </w:r>
            <w:r w:rsidR="00E7549A">
              <w:rPr>
                <w:rFonts w:ascii="Arial" w:hAnsi="Arial" w:cs="Arial"/>
                <w:b/>
              </w:rPr>
              <w:t>0</w:t>
            </w:r>
          </w:p>
        </w:tc>
      </w:tr>
      <w:tr w:rsidR="00EF2DAB" w:rsidRPr="00EF2DAB" w14:paraId="0B7938B2" w14:textId="77777777" w:rsidTr="00A303F8">
        <w:trPr>
          <w:trHeight w:val="578"/>
        </w:trPr>
        <w:tc>
          <w:tcPr>
            <w:tcW w:w="4439" w:type="pct"/>
            <w:shd w:val="clear" w:color="auto" w:fill="auto"/>
          </w:tcPr>
          <w:p w14:paraId="601D3AD9" w14:textId="77777777" w:rsidR="00024164" w:rsidRPr="00EF2DAB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5C678C2B" w14:textId="31C40972" w:rsidR="00024164" w:rsidRPr="00EF2DAB" w:rsidRDefault="003952CD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2</w:t>
            </w:r>
            <w:r w:rsidR="00E7549A">
              <w:rPr>
                <w:rFonts w:ascii="Arial" w:hAnsi="Arial" w:cs="Arial"/>
                <w:b/>
              </w:rPr>
              <w:t>0</w:t>
            </w:r>
          </w:p>
        </w:tc>
      </w:tr>
      <w:tr w:rsidR="00EF2DAB" w:rsidRPr="00EF2DAB" w14:paraId="3B313F8B" w14:textId="77777777" w:rsidTr="00A303F8">
        <w:trPr>
          <w:trHeight w:val="572"/>
        </w:trPr>
        <w:tc>
          <w:tcPr>
            <w:tcW w:w="4439" w:type="pct"/>
            <w:shd w:val="clear" w:color="auto" w:fill="auto"/>
          </w:tcPr>
          <w:p w14:paraId="4480CDCB" w14:textId="77777777" w:rsidR="00024164" w:rsidRPr="00EF2DAB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II.3.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1C63C961" w14:textId="2C610229" w:rsidR="00024164" w:rsidRPr="00EF2DAB" w:rsidRDefault="003952CD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2</w:t>
            </w:r>
            <w:r w:rsidR="00A303F8">
              <w:rPr>
                <w:rFonts w:ascii="Arial" w:hAnsi="Arial" w:cs="Arial"/>
                <w:b/>
              </w:rPr>
              <w:t>1</w:t>
            </w:r>
          </w:p>
        </w:tc>
      </w:tr>
      <w:tr w:rsidR="00EF2DAB" w:rsidRPr="00EF2DAB" w14:paraId="57AA664B" w14:textId="77777777" w:rsidTr="00A303F8">
        <w:trPr>
          <w:trHeight w:val="20"/>
        </w:trPr>
        <w:tc>
          <w:tcPr>
            <w:tcW w:w="4439" w:type="pct"/>
            <w:shd w:val="clear" w:color="auto" w:fill="auto"/>
          </w:tcPr>
          <w:p w14:paraId="6B5F7EE7" w14:textId="77777777" w:rsidR="00024164" w:rsidRPr="00EF2DAB" w:rsidRDefault="00024164" w:rsidP="0038053C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499441BA" w14:textId="46EA3F41" w:rsidR="00024164" w:rsidRPr="00EF2DAB" w:rsidRDefault="003952CD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2</w:t>
            </w:r>
            <w:r w:rsidR="00E7549A">
              <w:rPr>
                <w:rFonts w:ascii="Arial" w:hAnsi="Arial" w:cs="Arial"/>
                <w:b/>
              </w:rPr>
              <w:t>1</w:t>
            </w:r>
          </w:p>
        </w:tc>
      </w:tr>
      <w:tr w:rsidR="00687280" w:rsidRPr="00EF2DAB" w14:paraId="4B2266D2" w14:textId="77777777" w:rsidTr="00A303F8">
        <w:trPr>
          <w:trHeight w:val="469"/>
        </w:trPr>
        <w:tc>
          <w:tcPr>
            <w:tcW w:w="4439" w:type="pct"/>
            <w:shd w:val="clear" w:color="auto" w:fill="auto"/>
          </w:tcPr>
          <w:p w14:paraId="73BE6FCF" w14:textId="5519FDAD" w:rsidR="00687280" w:rsidRPr="00A303F8" w:rsidRDefault="00A303F8" w:rsidP="00A303F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A303F8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A303F8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A303F8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6BD45088" w14:textId="1B533856" w:rsidR="00687280" w:rsidRPr="00EF2DAB" w:rsidRDefault="00A303F8" w:rsidP="0060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EF2DAB" w:rsidRPr="00EF2DAB" w14:paraId="69F4CB8C" w14:textId="77777777" w:rsidTr="00A303F8">
        <w:trPr>
          <w:trHeight w:val="469"/>
        </w:trPr>
        <w:tc>
          <w:tcPr>
            <w:tcW w:w="4439" w:type="pct"/>
            <w:shd w:val="clear" w:color="auto" w:fill="auto"/>
          </w:tcPr>
          <w:p w14:paraId="31B47023" w14:textId="2E775CC9" w:rsidR="00024164" w:rsidRPr="00EF2DAB" w:rsidRDefault="00024164" w:rsidP="005F72C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III.</w:t>
            </w:r>
            <w:r w:rsidR="005F72CF" w:rsidRPr="00EF2DAB">
              <w:rPr>
                <w:rFonts w:ascii="Arial" w:hAnsi="Arial" w:cs="Arial"/>
                <w:b/>
                <w:bCs/>
              </w:rPr>
              <w:t xml:space="preserve"> DICTAMEN</w:t>
            </w:r>
            <w:r w:rsidRPr="00EF2DAB"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723EB00D" w14:textId="48215B22" w:rsidR="00024164" w:rsidRPr="00EF2DAB" w:rsidRDefault="003952CD" w:rsidP="0060628B">
            <w:pPr>
              <w:jc w:val="center"/>
              <w:rPr>
                <w:rFonts w:ascii="Arial" w:hAnsi="Arial" w:cs="Arial"/>
                <w:b/>
              </w:rPr>
            </w:pPr>
            <w:r w:rsidRPr="00EF2DAB">
              <w:rPr>
                <w:rFonts w:ascii="Arial" w:hAnsi="Arial" w:cs="Arial"/>
                <w:b/>
              </w:rPr>
              <w:t>2</w:t>
            </w:r>
            <w:r w:rsidR="00A303F8">
              <w:rPr>
                <w:rFonts w:ascii="Arial" w:hAnsi="Arial" w:cs="Arial"/>
                <w:b/>
              </w:rPr>
              <w:t>6</w:t>
            </w:r>
          </w:p>
        </w:tc>
      </w:tr>
    </w:tbl>
    <w:p w14:paraId="26B38DA3" w14:textId="77777777" w:rsidR="005F72CF" w:rsidRPr="00EF2DAB" w:rsidRDefault="005F72CF">
      <w:pPr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br w:type="page"/>
      </w:r>
    </w:p>
    <w:p w14:paraId="3754B207" w14:textId="186CF304" w:rsidR="00235244" w:rsidRPr="00EF2DAB" w:rsidRDefault="00235244" w:rsidP="007B0210">
      <w:pPr>
        <w:spacing w:line="360" w:lineRule="auto"/>
        <w:ind w:right="141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lastRenderedPageBreak/>
        <w:t>INTRODUCCIÓN</w:t>
      </w:r>
    </w:p>
    <w:p w14:paraId="473E8598" w14:textId="77777777" w:rsidR="00235244" w:rsidRPr="00EF2DAB" w:rsidRDefault="00235244" w:rsidP="007B0210">
      <w:pPr>
        <w:spacing w:line="360" w:lineRule="auto"/>
        <w:ind w:right="141"/>
        <w:rPr>
          <w:rFonts w:ascii="Arial" w:hAnsi="Arial" w:cs="Arial"/>
          <w:b/>
          <w:bCs/>
          <w:sz w:val="16"/>
          <w:szCs w:val="16"/>
        </w:rPr>
      </w:pPr>
    </w:p>
    <w:p w14:paraId="4497E3E5" w14:textId="3159D8B8" w:rsidR="00235244" w:rsidRPr="00EF2DAB" w:rsidRDefault="00235244" w:rsidP="00F66630">
      <w:pPr>
        <w:spacing w:line="360" w:lineRule="auto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 xml:space="preserve">Por disposición contenida en los artículos 75, fracción XXIX, y 77 de la Constitución Política del Estado Libre y Soberano de Quintana Roo, corresponde al Poder Legislativo a través de la Auditoría Superior del Estado, revisar de manera posterior al término de cada ejercicio fiscal la Cuenta Pública que </w:t>
      </w:r>
      <w:r w:rsidR="007E2962" w:rsidRPr="00EF2DAB">
        <w:rPr>
          <w:rFonts w:ascii="Arial" w:hAnsi="Arial" w:cs="Arial"/>
        </w:rPr>
        <w:t>la</w:t>
      </w:r>
      <w:r w:rsidRPr="00EF2DAB">
        <w:rPr>
          <w:rFonts w:ascii="Arial" w:hAnsi="Arial" w:cs="Arial"/>
        </w:rPr>
        <w:t xml:space="preserve"> </w:t>
      </w:r>
      <w:r w:rsidR="00B03346" w:rsidRPr="00EF2DAB">
        <w:rPr>
          <w:rFonts w:ascii="Arial" w:hAnsi="Arial" w:cs="Arial"/>
        </w:rPr>
        <w:t>Administración Pública Estatal</w:t>
      </w:r>
      <w:r w:rsidRPr="00EF2DAB">
        <w:rPr>
          <w:rFonts w:ascii="Arial" w:hAnsi="Arial" w:cs="Arial"/>
        </w:rPr>
        <w:t>, le presente sobre su gestión financiera, que se traduce a su vez, en la obligación de los funcionarios correspondientes de presentar su Cuenta Pública para efectos de que sea revisada y fiscalizada.</w:t>
      </w:r>
    </w:p>
    <w:p w14:paraId="120EB391" w14:textId="77777777" w:rsidR="00235244" w:rsidRPr="00EF2DAB" w:rsidRDefault="00235244" w:rsidP="00F6663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90B8051" w14:textId="30E2E042" w:rsidR="00235244" w:rsidRPr="00EF2DAB" w:rsidRDefault="00235244" w:rsidP="00F66630">
      <w:pPr>
        <w:pStyle w:val="Textoindependiente"/>
        <w:spacing w:line="360" w:lineRule="auto"/>
        <w:rPr>
          <w:rFonts w:ascii="Arial" w:hAnsi="Arial" w:cs="Arial"/>
        </w:rPr>
      </w:pPr>
      <w:r w:rsidRPr="00EF2DAB">
        <w:rPr>
          <w:rFonts w:ascii="Arial" w:hAnsi="Arial" w:cs="Arial"/>
        </w:rPr>
        <w:t>Esta revisión se realiza con el objeto de evaluar los resultados de la gestión financiera, derivado del análisis de la Cuenta Pública a efecto de poder rendir el presente informe a esta H. XVI</w:t>
      </w:r>
      <w:r w:rsidR="00ED2D0F" w:rsidRPr="00EF2DAB">
        <w:rPr>
          <w:rFonts w:ascii="Arial" w:hAnsi="Arial" w:cs="Arial"/>
        </w:rPr>
        <w:t>I</w:t>
      </w:r>
      <w:r w:rsidRPr="00EF2DAB">
        <w:rPr>
          <w:rFonts w:ascii="Arial" w:hAnsi="Arial" w:cs="Arial"/>
        </w:rPr>
        <w:t xml:space="preserve"> Legislatura del Estado de Quintana Roo, con relación al manejo de la misma por parte de la autoridad correspondiente.</w:t>
      </w:r>
    </w:p>
    <w:p w14:paraId="29467792" w14:textId="77777777" w:rsidR="00235244" w:rsidRPr="00EF2DAB" w:rsidRDefault="00235244" w:rsidP="00F6663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65F535" w14:textId="0DC43353" w:rsidR="00235244" w:rsidRPr="00EF2DAB" w:rsidRDefault="00235244" w:rsidP="00F66630">
      <w:pPr>
        <w:spacing w:line="360" w:lineRule="auto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Cs/>
        </w:rPr>
        <w:t>La formulación, revisión y aprobación de la Cuenta Pública de</w:t>
      </w:r>
      <w:r w:rsidR="007E2962" w:rsidRPr="00EF2DAB">
        <w:rPr>
          <w:rFonts w:ascii="Arial" w:hAnsi="Arial" w:cs="Arial"/>
          <w:bCs/>
        </w:rPr>
        <w:t xml:space="preserve"> </w:t>
      </w:r>
      <w:r w:rsidRPr="00EF2DAB">
        <w:rPr>
          <w:rFonts w:ascii="Arial" w:hAnsi="Arial" w:cs="Arial"/>
          <w:bCs/>
        </w:rPr>
        <w:t>l</w:t>
      </w:r>
      <w:r w:rsidR="007E2962" w:rsidRPr="00EF2DAB">
        <w:rPr>
          <w:rFonts w:ascii="Arial" w:hAnsi="Arial" w:cs="Arial"/>
          <w:bCs/>
        </w:rPr>
        <w:t>a</w:t>
      </w:r>
      <w:r w:rsidRPr="00EF2DAB">
        <w:rPr>
          <w:rFonts w:ascii="Arial" w:hAnsi="Arial" w:cs="Arial"/>
          <w:bCs/>
        </w:rPr>
        <w:t xml:space="preserve"> </w:t>
      </w:r>
      <w:r w:rsidR="007E2962" w:rsidRPr="00EF2DAB">
        <w:rPr>
          <w:rFonts w:ascii="Arial" w:hAnsi="Arial" w:cs="Arial"/>
          <w:b/>
        </w:rPr>
        <w:t>Comisión para la Juventud y el Deporte 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</w:rPr>
        <w:t>,</w:t>
      </w:r>
      <w:r w:rsidRPr="00EF2DAB">
        <w:rPr>
          <w:rFonts w:ascii="Arial" w:hAnsi="Arial" w:cs="Arial"/>
          <w:bCs/>
        </w:rPr>
        <w:t xml:space="preserve"> </w:t>
      </w:r>
      <w:r w:rsidR="005F72CF" w:rsidRPr="00EF2DAB">
        <w:rPr>
          <w:rFonts w:ascii="Arial" w:hAnsi="Arial" w:cs="Arial"/>
          <w:bCs/>
        </w:rPr>
        <w:t>abarca</w:t>
      </w:r>
      <w:r w:rsidRPr="00EF2DAB">
        <w:rPr>
          <w:rFonts w:ascii="Arial" w:hAnsi="Arial" w:cs="Arial"/>
          <w:bCs/>
        </w:rPr>
        <w:t xml:space="preserve"> la realización de actividades en las que participa la Legislatura del Estado, las cuales comprenden:</w:t>
      </w:r>
    </w:p>
    <w:p w14:paraId="557CAB93" w14:textId="77777777" w:rsidR="00235244" w:rsidRPr="00EF2DAB" w:rsidRDefault="00235244" w:rsidP="00F6663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ACEFE85" w14:textId="4FA3B198" w:rsidR="00235244" w:rsidRPr="00EF2DAB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/>
          <w:bCs/>
        </w:rPr>
        <w:t>A.- El Proceso Administrativo;</w:t>
      </w:r>
      <w:r w:rsidRPr="00EF2DAB">
        <w:rPr>
          <w:rFonts w:ascii="Arial" w:hAnsi="Arial" w:cs="Arial"/>
          <w:bCs/>
        </w:rPr>
        <w:t xml:space="preserve"> que es desarrollado fundamentalmente por </w:t>
      </w:r>
      <w:r w:rsidR="007E2962" w:rsidRPr="00EF2DAB">
        <w:rPr>
          <w:rFonts w:ascii="Arial" w:hAnsi="Arial" w:cs="Arial"/>
          <w:bCs/>
        </w:rPr>
        <w:t>la</w:t>
      </w:r>
      <w:r w:rsidRPr="00EF2DAB">
        <w:rPr>
          <w:rFonts w:ascii="Arial" w:hAnsi="Arial" w:cs="Arial"/>
          <w:bCs/>
        </w:rPr>
        <w:t xml:space="preserve"> </w:t>
      </w:r>
      <w:r w:rsidR="007E2962" w:rsidRPr="00EF2DAB">
        <w:rPr>
          <w:rFonts w:ascii="Arial" w:hAnsi="Arial" w:cs="Arial"/>
          <w:b/>
        </w:rPr>
        <w:t>Comisión para la Juventud y el Deporte 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</w:rPr>
        <w:t>,</w:t>
      </w:r>
      <w:r w:rsidRPr="00EF2DAB">
        <w:rPr>
          <w:rFonts w:ascii="Arial" w:hAnsi="Arial" w:cs="Arial"/>
          <w:bCs/>
        </w:rPr>
        <w:t xml:space="preserve"> en la integración de la Cuenta Pública, la cual </w:t>
      </w:r>
      <w:r w:rsidR="005F72CF" w:rsidRPr="00EF2DAB">
        <w:rPr>
          <w:rFonts w:ascii="Arial" w:hAnsi="Arial" w:cs="Arial"/>
          <w:bCs/>
        </w:rPr>
        <w:t>incluye</w:t>
      </w:r>
      <w:r w:rsidRPr="00EF2DAB">
        <w:rPr>
          <w:rFonts w:ascii="Arial" w:hAnsi="Arial" w:cs="Arial"/>
          <w:bCs/>
        </w:rPr>
        <w:t xml:space="preserve"> los resultados de las labores administrativas realizadas en el ejercicio fiscal </w:t>
      </w:r>
      <w:r w:rsidR="00711CF6" w:rsidRPr="00EF2DAB">
        <w:rPr>
          <w:rFonts w:ascii="Arial" w:hAnsi="Arial" w:cs="Arial"/>
          <w:bCs/>
        </w:rPr>
        <w:t>202</w:t>
      </w:r>
      <w:r w:rsidR="005F72CF" w:rsidRPr="00EF2DAB">
        <w:rPr>
          <w:rFonts w:ascii="Arial" w:hAnsi="Arial" w:cs="Arial"/>
          <w:bCs/>
        </w:rPr>
        <w:t>2</w:t>
      </w:r>
      <w:r w:rsidRPr="00EF2DAB">
        <w:rPr>
          <w:rFonts w:ascii="Arial" w:hAnsi="Arial" w:cs="Arial"/>
          <w:bCs/>
        </w:rPr>
        <w:t>, así como las principales políticas financieras, económicas y sociales que influyeron en el resultado de los ingresos recibidos y gastos efectuados por la entidad fiscalizada.</w:t>
      </w:r>
    </w:p>
    <w:p w14:paraId="6206FF2B" w14:textId="77777777" w:rsidR="00235244" w:rsidRPr="00EF2DAB" w:rsidRDefault="00235244" w:rsidP="00F6663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41780012" w14:textId="30E2E994" w:rsidR="00235244" w:rsidRPr="00EF2DAB" w:rsidRDefault="00235244" w:rsidP="00F66630">
      <w:pPr>
        <w:spacing w:line="360" w:lineRule="auto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  <w:bCs/>
        </w:rPr>
        <w:t xml:space="preserve">B.- El Proceso de Vigilancia; </w:t>
      </w:r>
      <w:r w:rsidRPr="00EF2DAB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la gestión financiera, teniendo carácter de externa y por lo tanto se efectúa de manera </w:t>
      </w:r>
      <w:r w:rsidRPr="00EF2DAB">
        <w:rPr>
          <w:rFonts w:ascii="Arial" w:hAnsi="Arial" w:cs="Arial"/>
          <w:bCs/>
        </w:rPr>
        <w:lastRenderedPageBreak/>
        <w:t>independiente y autónoma de cualquier otra forma de control o fiscalización que realicen los órganos internos de control,</w:t>
      </w:r>
      <w:bookmarkStart w:id="2" w:name="_Hlk11404101"/>
      <w:r w:rsidRPr="00EF2DAB">
        <w:rPr>
          <w:rFonts w:ascii="Arial" w:hAnsi="Arial" w:cs="Arial"/>
          <w:bCs/>
        </w:rPr>
        <w:t xml:space="preserve"> ejecutándose una vez que el programa anual de auditoría esté aprobado y publicado en su página de internet, para efectos de comprobar el cumplimiento de las </w:t>
      </w:r>
      <w:bookmarkStart w:id="3" w:name="_Hlk11355006"/>
      <w:r w:rsidRPr="00EF2DAB">
        <w:rPr>
          <w:rFonts w:ascii="Arial" w:hAnsi="Arial" w:cs="Arial"/>
          <w:bCs/>
        </w:rPr>
        <w:t>disposiciones legales y normativas aplicables</w:t>
      </w:r>
      <w:bookmarkEnd w:id="3"/>
      <w:r w:rsidRPr="00EF2DAB">
        <w:rPr>
          <w:rFonts w:ascii="Arial" w:hAnsi="Arial" w:cs="Arial"/>
          <w:bCs/>
        </w:rPr>
        <w:t xml:space="preserve">, en cuanto a la recaudación, manejo, custodia y aplicación de los ingresos y gastos públicos, </w:t>
      </w:r>
      <w:bookmarkEnd w:id="2"/>
      <w:r w:rsidRPr="00EF2DAB">
        <w:rPr>
          <w:rFonts w:ascii="Arial" w:hAnsi="Arial" w:cs="Arial"/>
          <w:bCs/>
        </w:rPr>
        <w:t>y todo lo relacionado con la actividad financiera-administrativa de</w:t>
      </w:r>
      <w:r w:rsidR="007E2962" w:rsidRPr="00EF2DAB">
        <w:rPr>
          <w:rFonts w:ascii="Arial" w:hAnsi="Arial" w:cs="Arial"/>
          <w:bCs/>
        </w:rPr>
        <w:t xml:space="preserve"> </w:t>
      </w:r>
      <w:r w:rsidRPr="00EF2DAB">
        <w:rPr>
          <w:rFonts w:ascii="Arial" w:hAnsi="Arial" w:cs="Arial"/>
          <w:bCs/>
        </w:rPr>
        <w:t>l</w:t>
      </w:r>
      <w:r w:rsidR="007E2962" w:rsidRPr="00EF2DAB">
        <w:rPr>
          <w:rFonts w:ascii="Arial" w:hAnsi="Arial" w:cs="Arial"/>
          <w:bCs/>
        </w:rPr>
        <w:t>a</w:t>
      </w:r>
      <w:r w:rsidRPr="00EF2DAB">
        <w:rPr>
          <w:rFonts w:ascii="Arial" w:hAnsi="Arial" w:cs="Arial"/>
          <w:bCs/>
        </w:rPr>
        <w:t xml:space="preserve"> </w:t>
      </w:r>
      <w:r w:rsidR="007E2962" w:rsidRPr="00EF2DAB">
        <w:rPr>
          <w:rFonts w:ascii="Arial" w:hAnsi="Arial" w:cs="Arial"/>
          <w:b/>
        </w:rPr>
        <w:t>Comisión para la Juventud y el Deporte 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</w:rPr>
        <w:t>.</w:t>
      </w:r>
    </w:p>
    <w:p w14:paraId="33A77826" w14:textId="77777777" w:rsidR="00235244" w:rsidRPr="00EF2DAB" w:rsidRDefault="00235244" w:rsidP="007B0210">
      <w:pPr>
        <w:spacing w:line="360" w:lineRule="auto"/>
        <w:ind w:right="141"/>
        <w:jc w:val="both"/>
        <w:rPr>
          <w:rFonts w:ascii="Arial" w:hAnsi="Arial" w:cs="Arial"/>
          <w:bCs/>
          <w:sz w:val="22"/>
          <w:szCs w:val="22"/>
        </w:rPr>
      </w:pPr>
    </w:p>
    <w:p w14:paraId="3AB919D4" w14:textId="6940A60A" w:rsidR="00235244" w:rsidRPr="00EF2DAB" w:rsidRDefault="00235244" w:rsidP="00F66630">
      <w:pPr>
        <w:spacing w:line="360" w:lineRule="auto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En la Cuenta Pública de</w:t>
      </w:r>
      <w:r w:rsidR="007E2962" w:rsidRPr="00EF2DAB">
        <w:rPr>
          <w:rFonts w:ascii="Arial" w:hAnsi="Arial" w:cs="Arial"/>
        </w:rPr>
        <w:t xml:space="preserve"> </w:t>
      </w:r>
      <w:r w:rsidRPr="00EF2DAB">
        <w:rPr>
          <w:rFonts w:ascii="Arial" w:hAnsi="Arial" w:cs="Arial"/>
        </w:rPr>
        <w:t>l</w:t>
      </w:r>
      <w:r w:rsidR="007E2962" w:rsidRPr="00EF2DAB">
        <w:rPr>
          <w:rFonts w:ascii="Arial" w:hAnsi="Arial" w:cs="Arial"/>
        </w:rPr>
        <w:t>a</w:t>
      </w:r>
      <w:r w:rsidRPr="00EF2DAB">
        <w:rPr>
          <w:rFonts w:ascii="Arial" w:hAnsi="Arial" w:cs="Arial"/>
        </w:rPr>
        <w:t xml:space="preserve"> </w:t>
      </w:r>
      <w:r w:rsidR="007E2962" w:rsidRPr="00EF2DAB">
        <w:rPr>
          <w:rFonts w:ascii="Arial" w:hAnsi="Arial" w:cs="Arial"/>
          <w:b/>
        </w:rPr>
        <w:t>Comisión para la Juventud y el Deporte 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</w:rPr>
        <w:t>, correspondiente al ejercicio fiscal 202</w:t>
      </w:r>
      <w:r w:rsidR="005F72CF" w:rsidRPr="00EF2DAB">
        <w:rPr>
          <w:rFonts w:ascii="Arial" w:hAnsi="Arial" w:cs="Arial"/>
        </w:rPr>
        <w:t>2</w:t>
      </w:r>
      <w:r w:rsidRPr="00EF2DAB">
        <w:rPr>
          <w:rFonts w:ascii="Arial" w:hAnsi="Arial" w:cs="Arial"/>
        </w:rPr>
        <w:t>, se encuentra reflejada la obtención de los ingresos y los gastos efectuados de</w:t>
      </w:r>
      <w:bookmarkStart w:id="4" w:name="_Hlk14174045"/>
      <w:r w:rsidRPr="00EF2DAB">
        <w:rPr>
          <w:rFonts w:ascii="Arial" w:hAnsi="Arial" w:cs="Arial"/>
        </w:rPr>
        <w:t xml:space="preserve"> recursos</w:t>
      </w:r>
      <w:bookmarkEnd w:id="4"/>
      <w:r w:rsidRPr="00EF2DAB">
        <w:rPr>
          <w:rFonts w:ascii="Arial" w:hAnsi="Arial" w:cs="Arial"/>
        </w:rPr>
        <w:t xml:space="preserve"> estatales, federales y propios. La Cuenta Pública fue entregada a la Auditoría Superior del Estado, </w:t>
      </w:r>
      <w:r w:rsidR="00B03346" w:rsidRPr="00EF2DAB">
        <w:rPr>
          <w:rFonts w:ascii="Arial" w:hAnsi="Arial" w:cs="Arial"/>
        </w:rPr>
        <w:t>en fechas 23 de septiembre de 2022 y 28 de abril de 2023, con oficios No. CJD/P/0315/2022 y CJD/P/0042/2023.</w:t>
      </w:r>
    </w:p>
    <w:p w14:paraId="05C3AFD4" w14:textId="77777777" w:rsidR="00B1785B" w:rsidRPr="00EF2DAB" w:rsidRDefault="00B1785B" w:rsidP="00F666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952AC0" w14:textId="3007BDC3" w:rsidR="00235244" w:rsidRPr="00EF2DAB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El C. Auditor Superior del Estado de Quintana Roo, de conformidad con lo dispuesto en los artículos 8, 19 fracción I, y 86 fracción IV, de la Ley de Fiscalización y Rendición de Cuentas del Estado de Quintana Roo, aprobó </w:t>
      </w:r>
      <w:r w:rsidR="00B1785B" w:rsidRPr="00EF2DAB">
        <w:rPr>
          <w:rFonts w:ascii="Arial" w:hAnsi="Arial" w:cs="Arial"/>
          <w:bCs/>
        </w:rPr>
        <w:t xml:space="preserve">en fecha 15 de </w:t>
      </w:r>
      <w:r w:rsidR="005F72CF" w:rsidRPr="00EF2DAB">
        <w:rPr>
          <w:rFonts w:ascii="Arial" w:hAnsi="Arial" w:cs="Arial"/>
          <w:bCs/>
        </w:rPr>
        <w:t>marzo</w:t>
      </w:r>
      <w:r w:rsidR="00B1785B" w:rsidRPr="00EF2DAB">
        <w:rPr>
          <w:rFonts w:ascii="Arial" w:hAnsi="Arial" w:cs="Arial"/>
          <w:bCs/>
        </w:rPr>
        <w:t xml:space="preserve"> de 202</w:t>
      </w:r>
      <w:r w:rsidR="005F72CF" w:rsidRPr="00EF2DAB">
        <w:rPr>
          <w:rFonts w:ascii="Arial" w:hAnsi="Arial" w:cs="Arial"/>
          <w:bCs/>
        </w:rPr>
        <w:t>3</w:t>
      </w:r>
      <w:r w:rsidR="00B1785B" w:rsidRPr="00EF2DAB">
        <w:rPr>
          <w:rFonts w:ascii="Arial" w:hAnsi="Arial" w:cs="Arial"/>
          <w:bCs/>
        </w:rPr>
        <w:t xml:space="preserve"> mediante acuerdo administrativo, el Programa Anual de Auditorías, Visitas e Inspecciones (PAAVI), correspondiente al año 202</w:t>
      </w:r>
      <w:r w:rsidR="005F72CF" w:rsidRPr="00EF2DAB">
        <w:rPr>
          <w:rFonts w:ascii="Arial" w:hAnsi="Arial" w:cs="Arial"/>
          <w:bCs/>
        </w:rPr>
        <w:t>3</w:t>
      </w:r>
      <w:r w:rsidR="00B1785B" w:rsidRPr="00EF2DAB">
        <w:rPr>
          <w:rFonts w:ascii="Arial" w:hAnsi="Arial" w:cs="Arial"/>
          <w:bCs/>
        </w:rPr>
        <w:t>, para la fiscalización superior de la Cuenta Pública 202</w:t>
      </w:r>
      <w:r w:rsidR="005F72CF" w:rsidRPr="00EF2DAB">
        <w:rPr>
          <w:rFonts w:ascii="Arial" w:hAnsi="Arial" w:cs="Arial"/>
          <w:bCs/>
        </w:rPr>
        <w:t>2</w:t>
      </w:r>
      <w:r w:rsidRPr="00EF2DAB">
        <w:rPr>
          <w:rFonts w:ascii="Arial" w:hAnsi="Arial" w:cs="Arial"/>
          <w:bCs/>
        </w:rPr>
        <w:t>, el cual fue expedido y publicado en el portal web de la Auditoría Superior del Estado de Quintana Roo.</w:t>
      </w:r>
    </w:p>
    <w:p w14:paraId="0C95CB44" w14:textId="77777777" w:rsidR="00235244" w:rsidRPr="00EF2DAB" w:rsidRDefault="00235244" w:rsidP="00F66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0C11F6" w14:textId="4B0665AB" w:rsidR="00235244" w:rsidRPr="00EF2DAB" w:rsidRDefault="00235244" w:rsidP="00F66630">
      <w:pPr>
        <w:spacing w:line="360" w:lineRule="auto"/>
        <w:jc w:val="both"/>
        <w:rPr>
          <w:rFonts w:ascii="Arial" w:hAnsi="Arial" w:cs="Arial"/>
        </w:rPr>
      </w:pPr>
      <w:bookmarkStart w:id="5" w:name="_Hlk11404920"/>
      <w:r w:rsidRPr="00EF2DAB">
        <w:rPr>
          <w:rFonts w:ascii="Arial" w:hAnsi="Arial" w:cs="Arial"/>
        </w:rPr>
        <w:t>Por lo anterior y en cumplimiento a los artículos 2, 3, 4, 5, 6 fracciones I, II y XX,</w:t>
      </w:r>
      <w:r w:rsidR="00F10B75" w:rsidRPr="00EF2DAB">
        <w:rPr>
          <w:rFonts w:ascii="Arial" w:hAnsi="Arial" w:cs="Arial"/>
        </w:rPr>
        <w:t xml:space="preserve"> </w:t>
      </w:r>
      <w:r w:rsidRPr="00EF2DAB">
        <w:rPr>
          <w:rFonts w:ascii="Arial" w:hAnsi="Arial" w:cs="Arial"/>
        </w:rPr>
        <w:t xml:space="preserve">16, 17, 19 fracciones I, VI, VII, VIII, XII, XV, XXVI y XXVIII, 22 en su último párrafo, </w:t>
      </w:r>
      <w:r w:rsidR="00A4570D" w:rsidRPr="00EF2DAB">
        <w:rPr>
          <w:rFonts w:ascii="Arial" w:hAnsi="Arial" w:cs="Arial"/>
        </w:rPr>
        <w:t xml:space="preserve">37, </w:t>
      </w:r>
      <w:r w:rsidRPr="00EF2DAB">
        <w:rPr>
          <w:rFonts w:ascii="Arial" w:hAnsi="Arial" w:cs="Arial"/>
        </w:rPr>
        <w:t>38, 40, 41, 42 y 86 fracciones I, XVII, XXII y XXXVI de la Ley de Fiscalización y Rendición de Cuentas del Estado de Quintana Roo</w:t>
      </w:r>
      <w:bookmarkEnd w:id="5"/>
      <w:r w:rsidRPr="00EF2DAB">
        <w:rPr>
          <w:rFonts w:ascii="Arial" w:hAnsi="Arial" w:cs="Arial"/>
        </w:rPr>
        <w:t>, se tiene a bien presentar los Informes Individuales de Auditoría obtenidos con relación a la Cuenta Pública</w:t>
      </w:r>
      <w:r w:rsidRPr="00EF2DAB">
        <w:rPr>
          <w:rFonts w:ascii="Arial" w:hAnsi="Arial" w:cs="Arial"/>
          <w:bCs/>
        </w:rPr>
        <w:t xml:space="preserve"> de</w:t>
      </w:r>
      <w:r w:rsidR="007E2962" w:rsidRPr="00EF2DAB">
        <w:rPr>
          <w:rFonts w:ascii="Arial" w:hAnsi="Arial" w:cs="Arial"/>
          <w:bCs/>
        </w:rPr>
        <w:t xml:space="preserve"> </w:t>
      </w:r>
      <w:r w:rsidRPr="00EF2DAB">
        <w:rPr>
          <w:rFonts w:ascii="Arial" w:hAnsi="Arial" w:cs="Arial"/>
          <w:bCs/>
        </w:rPr>
        <w:t>l</w:t>
      </w:r>
      <w:r w:rsidR="007E2962" w:rsidRPr="00EF2DAB">
        <w:rPr>
          <w:rFonts w:ascii="Arial" w:hAnsi="Arial" w:cs="Arial"/>
          <w:bCs/>
        </w:rPr>
        <w:t>a</w:t>
      </w:r>
      <w:r w:rsidRPr="00EF2DAB">
        <w:rPr>
          <w:rFonts w:ascii="Arial" w:hAnsi="Arial" w:cs="Arial"/>
          <w:bCs/>
        </w:rPr>
        <w:t xml:space="preserve"> </w:t>
      </w:r>
      <w:r w:rsidR="007E2962" w:rsidRPr="00EF2DAB">
        <w:rPr>
          <w:rFonts w:ascii="Arial" w:hAnsi="Arial" w:cs="Arial"/>
          <w:b/>
        </w:rPr>
        <w:t xml:space="preserve">Comisión para la Juventud y el Deporte </w:t>
      </w:r>
      <w:r w:rsidR="007E2962" w:rsidRPr="00EF2DAB">
        <w:rPr>
          <w:rFonts w:ascii="Arial" w:hAnsi="Arial" w:cs="Arial"/>
          <w:b/>
        </w:rPr>
        <w:lastRenderedPageBreak/>
        <w:t>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</w:rPr>
        <w:t>, correspondiente al</w:t>
      </w:r>
      <w:r w:rsidRPr="00EF2DAB">
        <w:rPr>
          <w:rFonts w:ascii="Arial" w:hAnsi="Arial" w:cs="Arial"/>
          <w:bCs/>
        </w:rPr>
        <w:t xml:space="preserve"> ejercicio fiscal </w:t>
      </w:r>
      <w:r w:rsidR="00711CF6" w:rsidRPr="00EF2DAB">
        <w:rPr>
          <w:rFonts w:ascii="Arial" w:hAnsi="Arial" w:cs="Arial"/>
          <w:bCs/>
        </w:rPr>
        <w:t>202</w:t>
      </w:r>
      <w:r w:rsidR="00A4570D" w:rsidRPr="00EF2DAB">
        <w:rPr>
          <w:rFonts w:ascii="Arial" w:hAnsi="Arial" w:cs="Arial"/>
          <w:bCs/>
        </w:rPr>
        <w:t>2</w:t>
      </w:r>
      <w:r w:rsidRPr="00EF2DAB">
        <w:rPr>
          <w:rFonts w:ascii="Arial" w:hAnsi="Arial" w:cs="Arial"/>
        </w:rPr>
        <w:t>.</w:t>
      </w:r>
    </w:p>
    <w:p w14:paraId="0799E92D" w14:textId="77777777" w:rsidR="00A4570D" w:rsidRPr="00EF2DAB" w:rsidRDefault="00A4570D" w:rsidP="007B0210">
      <w:pPr>
        <w:spacing w:line="360" w:lineRule="auto"/>
        <w:ind w:right="141"/>
        <w:rPr>
          <w:rFonts w:ascii="Arial" w:hAnsi="Arial" w:cs="Arial"/>
          <w:b/>
          <w:bCs/>
        </w:rPr>
      </w:pPr>
    </w:p>
    <w:p w14:paraId="29036C95" w14:textId="49079535" w:rsidR="00235244" w:rsidRPr="00EF2DAB" w:rsidRDefault="00235244" w:rsidP="007B0210">
      <w:pPr>
        <w:spacing w:line="360" w:lineRule="auto"/>
        <w:ind w:right="141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ANTECEDENTES DE LA ENTIDAD FISCALIZADA</w:t>
      </w:r>
    </w:p>
    <w:p w14:paraId="03696780" w14:textId="77777777" w:rsidR="00235244" w:rsidRPr="00474CEC" w:rsidRDefault="00235244" w:rsidP="007B0210">
      <w:pPr>
        <w:spacing w:line="360" w:lineRule="auto"/>
        <w:ind w:right="141"/>
        <w:rPr>
          <w:rFonts w:ascii="Arial" w:hAnsi="Arial" w:cs="Arial"/>
          <w:b/>
          <w:bCs/>
        </w:rPr>
      </w:pPr>
    </w:p>
    <w:p w14:paraId="7DB44508" w14:textId="77777777" w:rsidR="00235244" w:rsidRPr="00EF2DAB" w:rsidRDefault="00235244" w:rsidP="007B0210">
      <w:pPr>
        <w:spacing w:line="360" w:lineRule="auto"/>
        <w:ind w:right="141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De su Creación y Objeto</w:t>
      </w:r>
    </w:p>
    <w:p w14:paraId="07C93234" w14:textId="77777777" w:rsidR="00235244" w:rsidRPr="00EF2DAB" w:rsidRDefault="00235244" w:rsidP="007B0210">
      <w:pPr>
        <w:spacing w:line="360" w:lineRule="auto"/>
        <w:ind w:right="141"/>
        <w:jc w:val="both"/>
        <w:rPr>
          <w:rFonts w:ascii="Arial" w:hAnsi="Arial" w:cs="Arial"/>
          <w:b/>
          <w:sz w:val="10"/>
          <w:szCs w:val="10"/>
        </w:rPr>
      </w:pPr>
    </w:p>
    <w:p w14:paraId="48537E98" w14:textId="2A44D653" w:rsidR="007E2962" w:rsidRPr="00EF2DAB" w:rsidRDefault="007E2962" w:rsidP="00F66630">
      <w:pPr>
        <w:spacing w:line="360" w:lineRule="auto"/>
        <w:jc w:val="both"/>
        <w:rPr>
          <w:rFonts w:ascii="Arial" w:hAnsi="Arial" w:cs="Arial"/>
        </w:rPr>
      </w:pPr>
      <w:r w:rsidRPr="00EF2DAB">
        <w:rPr>
          <w:rFonts w:ascii="Arial" w:hAnsi="Arial" w:cs="Arial"/>
          <w:bCs/>
        </w:rPr>
        <w:t xml:space="preserve">La </w:t>
      </w:r>
      <w:r w:rsidRPr="00EF2DAB">
        <w:rPr>
          <w:rFonts w:ascii="Arial" w:hAnsi="Arial"/>
          <w:b/>
        </w:rPr>
        <w:t xml:space="preserve">Comisión para la Juventud y el Deporte de Quintana Roo, </w:t>
      </w:r>
      <w:r w:rsidRPr="00EF2DAB">
        <w:rPr>
          <w:rFonts w:ascii="Arial" w:hAnsi="Arial"/>
        </w:rPr>
        <w:t>se creó</w:t>
      </w:r>
      <w:r w:rsidRPr="00EF2DAB">
        <w:rPr>
          <w:rFonts w:ascii="Arial" w:hAnsi="Arial" w:cs="Arial"/>
          <w:bCs/>
        </w:rPr>
        <w:t xml:space="preserve"> con </w:t>
      </w:r>
      <w:r w:rsidRPr="00EF2DAB">
        <w:rPr>
          <w:rFonts w:ascii="Arial" w:hAnsi="Arial" w:cs="Arial"/>
        </w:rPr>
        <w:t xml:space="preserve">fecha 20 de marzo de 2002 en el Periódico Oficial del </w:t>
      </w:r>
      <w:r w:rsidR="009C66E7" w:rsidRPr="00EF2DAB">
        <w:rPr>
          <w:rFonts w:ascii="Arial" w:hAnsi="Arial" w:cs="Arial"/>
        </w:rPr>
        <w:t>Estado de</w:t>
      </w:r>
      <w:r w:rsidRPr="00EF2DAB">
        <w:rPr>
          <w:rFonts w:ascii="Arial" w:hAnsi="Arial" w:cs="Arial"/>
        </w:rPr>
        <w:t xml:space="preserve"> Quintana Roo como un Organismo Público Autónomo de carácter estatal, con personalidad jurídica y patrimonio propio, contando para el cumplimiento de sus fines con órganos permanentes y temporales, centrales y desconcentrados, con domicilio en la Capital de</w:t>
      </w:r>
      <w:r w:rsidR="008951EA" w:rsidRPr="00EF2DAB">
        <w:rPr>
          <w:rFonts w:ascii="Arial" w:hAnsi="Arial" w:cs="Arial"/>
        </w:rPr>
        <w:t>l</w:t>
      </w:r>
      <w:r w:rsidRPr="00EF2DAB">
        <w:rPr>
          <w:rFonts w:ascii="Arial" w:hAnsi="Arial" w:cs="Arial"/>
        </w:rPr>
        <w:t xml:space="preserve"> Estado.</w:t>
      </w:r>
    </w:p>
    <w:p w14:paraId="2DDEE992" w14:textId="2DCB51D8" w:rsidR="000244C4" w:rsidRPr="00EF2DAB" w:rsidRDefault="000244C4" w:rsidP="00F66630">
      <w:pPr>
        <w:spacing w:line="360" w:lineRule="auto"/>
        <w:jc w:val="both"/>
        <w:rPr>
          <w:rFonts w:ascii="Arial" w:hAnsi="Arial" w:cs="Arial"/>
        </w:rPr>
      </w:pPr>
    </w:p>
    <w:p w14:paraId="528AF47B" w14:textId="77777777" w:rsidR="00B03346" w:rsidRPr="00EF2DAB" w:rsidRDefault="00B03346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La Comisión tiene como objeto la atención integral a la juventud y el deporte quintanarroense, considerados como elementos básicos para la formación de individuos capaces de generar desarrollo y progreso nacional. Para tal efecto la Comisión formulará, aprobará, ejecutará y evaluará programas, servicios y acciones especiales, tendientes a promover los apoyos necesarios para que los jóvenes que estén comprendidos entre los 12 y 29 años, tengan acceso a la educación básica, media superior, superior y técnica, así como las actividades científicas, culturales, artísticas, deportivas, recreativas y sociales. De igual manera procura atención a los deportistas de todas las edades, con políticas tendientes a estimular la superación y el desarrollo físico e intelectual de deportistas y entrenadores profesionales, que permitan elevar el nivel de competencia del deporte quintanarroense y fomenten la formación de nuevos cuadros de deportistas de alto rendimiento.</w:t>
      </w:r>
    </w:p>
    <w:p w14:paraId="2F8A9EA7" w14:textId="77777777" w:rsidR="00B03346" w:rsidRPr="00EF2DAB" w:rsidRDefault="00B03346" w:rsidP="00F66630">
      <w:pPr>
        <w:spacing w:line="360" w:lineRule="auto"/>
        <w:jc w:val="both"/>
        <w:rPr>
          <w:rFonts w:ascii="Arial" w:hAnsi="Arial" w:cs="Arial"/>
        </w:rPr>
      </w:pPr>
    </w:p>
    <w:p w14:paraId="31E84353" w14:textId="2017DC47" w:rsidR="000244C4" w:rsidRPr="00EF2DAB" w:rsidRDefault="000244C4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En fecha 03 de noviembre de 2023 fue publicado en el Periódico Oficial del Estado de Quintana Roo mediante decreto 12</w:t>
      </w:r>
      <w:r w:rsidR="000D09A1" w:rsidRPr="00EF2DAB">
        <w:rPr>
          <w:rFonts w:ascii="Arial" w:hAnsi="Arial" w:cs="Arial"/>
        </w:rPr>
        <w:t>1</w:t>
      </w:r>
      <w:r w:rsidRPr="00EF2DAB">
        <w:rPr>
          <w:rFonts w:ascii="Arial" w:hAnsi="Arial" w:cs="Arial"/>
        </w:rPr>
        <w:t xml:space="preserve"> la iniciativa con finalidad de transformar a la </w:t>
      </w:r>
      <w:r w:rsidRPr="00EF2DAB">
        <w:rPr>
          <w:rFonts w:ascii="Arial" w:hAnsi="Arial" w:cs="Arial"/>
          <w:b/>
        </w:rPr>
        <w:t xml:space="preserve">Comisión </w:t>
      </w:r>
      <w:r w:rsidRPr="00EF2DAB">
        <w:rPr>
          <w:rFonts w:ascii="Arial" w:hAnsi="Arial" w:cs="Arial"/>
          <w:b/>
        </w:rPr>
        <w:lastRenderedPageBreak/>
        <w:t xml:space="preserve">para la Juventud y el Deporte de Quintana Roo (COJUDEQ), </w:t>
      </w:r>
      <w:r w:rsidRPr="00EF2DAB">
        <w:rPr>
          <w:rFonts w:ascii="Arial" w:hAnsi="Arial" w:cs="Arial"/>
        </w:rPr>
        <w:t xml:space="preserve">en un nuevo organismo que garantice que toda la ciudadanía cuente con oportunidades que les permita participar y desarrollar plenamente sus capacidades disfrutando de actividades físicas y accediendo a espacios recreativos, proporcionados por el Gobierno del Estado; a través de lo cual se da cumplimiento a la responsabilidad social de crear condiciones que permitan la conservación y fomento de la cultura física, el deporte y la salud con la participación de toda la sociedad quintanarroense; ello bajo la rectoría de la </w:t>
      </w:r>
      <w:r w:rsidRPr="00EF2DAB">
        <w:rPr>
          <w:rFonts w:ascii="Arial" w:hAnsi="Arial" w:cs="Arial"/>
          <w:b/>
        </w:rPr>
        <w:t>Comisión del Deporte de Quintana Roo (CODEQ).</w:t>
      </w:r>
    </w:p>
    <w:p w14:paraId="5CC65B3F" w14:textId="77777777" w:rsidR="00ED2D0F" w:rsidRPr="00474CEC" w:rsidRDefault="00ED2D0F" w:rsidP="00F66630">
      <w:pPr>
        <w:spacing w:line="360" w:lineRule="auto"/>
        <w:jc w:val="both"/>
        <w:rPr>
          <w:rFonts w:ascii="Arial" w:hAnsi="Arial" w:cs="Arial"/>
        </w:rPr>
      </w:pPr>
    </w:p>
    <w:p w14:paraId="77631C70" w14:textId="0BA3A37F" w:rsidR="00235244" w:rsidRPr="00EF2DAB" w:rsidRDefault="00B03A8E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 xml:space="preserve">La CODEQ tendrá como objeto incentivar la activación física, la recreación deportiva como actividad humana, que contribuya a mejorar la sociedad a través de planes, programas, proyectos, actividades y entrenamiento profesional en materia deportiva, así como dar seguimiento, continuidad y profesionalización del deporte de alto rendimiento </w:t>
      </w:r>
      <w:r w:rsidR="00AC2497">
        <w:rPr>
          <w:rFonts w:ascii="Arial" w:hAnsi="Arial" w:cs="Arial"/>
        </w:rPr>
        <w:t>con la finalidad</w:t>
      </w:r>
      <w:r w:rsidRPr="00EF2DAB">
        <w:rPr>
          <w:rFonts w:ascii="Arial" w:hAnsi="Arial" w:cs="Arial"/>
        </w:rPr>
        <w:t xml:space="preserve"> de que los atletas se consoliden en las diversas disciplinas deportivas, con miras a competencias de índole municipal, estatal, regional, nacional o internacional, a fin de elevar los niveles de competitividad deportiva de Quintana Roo.</w:t>
      </w:r>
    </w:p>
    <w:p w14:paraId="22DB3EDB" w14:textId="13282D9D" w:rsidR="00B03A8E" w:rsidRPr="00474CEC" w:rsidRDefault="00B03A8E" w:rsidP="00235244">
      <w:pPr>
        <w:spacing w:line="360" w:lineRule="auto"/>
        <w:ind w:right="190"/>
        <w:jc w:val="both"/>
        <w:rPr>
          <w:rFonts w:ascii="Arial" w:hAnsi="Arial" w:cs="Arial"/>
        </w:rPr>
      </w:pPr>
    </w:p>
    <w:p w14:paraId="3046FC29" w14:textId="59680675" w:rsidR="00235244" w:rsidRPr="00EF2DAB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I. INFORME INDIVIDUAL DE AUDITORÍA RELATIVO A INGRESOS</w:t>
      </w:r>
      <w:r w:rsidR="00A4570D" w:rsidRPr="00EF2DAB">
        <w:rPr>
          <w:rFonts w:ascii="Arial" w:hAnsi="Arial" w:cs="Arial"/>
          <w:b/>
          <w:bCs/>
        </w:rPr>
        <w:t xml:space="preserve"> PÚBLICOS</w:t>
      </w:r>
    </w:p>
    <w:p w14:paraId="2E4473F5" w14:textId="77777777" w:rsidR="00235244" w:rsidRPr="00474CEC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3214749" w14:textId="77777777" w:rsidR="00235244" w:rsidRPr="00EF2DAB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I.1. ASPECTOS GENERALES DE LA AUDITORÍA</w:t>
      </w:r>
    </w:p>
    <w:p w14:paraId="7EB887B8" w14:textId="77777777" w:rsidR="00235244" w:rsidRPr="00474CEC" w:rsidRDefault="00235244" w:rsidP="0023524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3B93A2" w14:textId="0276C0B0" w:rsidR="00235244" w:rsidRPr="00EF2DAB" w:rsidRDefault="00235244" w:rsidP="00235244">
      <w:pPr>
        <w:spacing w:line="360" w:lineRule="auto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A. Título de la Auditoría</w:t>
      </w:r>
    </w:p>
    <w:p w14:paraId="20CADCB5" w14:textId="77777777" w:rsidR="00F66630" w:rsidRPr="00EF2DAB" w:rsidRDefault="00F66630" w:rsidP="0023524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09B7601" w14:textId="2B335FF8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  <w:bCs/>
        </w:rPr>
        <w:t>La auditoría, visita e inspección que se realizó en materia financiera a</w:t>
      </w:r>
      <w:r w:rsidR="007E2962" w:rsidRPr="00EF2DAB">
        <w:rPr>
          <w:rFonts w:ascii="Arial" w:hAnsi="Arial" w:cs="Arial"/>
          <w:bCs/>
        </w:rPr>
        <w:t xml:space="preserve"> </w:t>
      </w:r>
      <w:r w:rsidRPr="00EF2DAB">
        <w:rPr>
          <w:rFonts w:ascii="Arial" w:hAnsi="Arial" w:cs="Arial"/>
          <w:bCs/>
        </w:rPr>
        <w:t>l</w:t>
      </w:r>
      <w:r w:rsidR="007E2962" w:rsidRPr="00EF2DAB">
        <w:rPr>
          <w:rFonts w:ascii="Arial" w:hAnsi="Arial" w:cs="Arial"/>
          <w:bCs/>
        </w:rPr>
        <w:t>a</w:t>
      </w:r>
      <w:r w:rsidRPr="00EF2DAB">
        <w:rPr>
          <w:rFonts w:ascii="Arial" w:hAnsi="Arial" w:cs="Arial"/>
          <w:bCs/>
        </w:rPr>
        <w:t xml:space="preserve"> </w:t>
      </w:r>
      <w:r w:rsidR="007E2962" w:rsidRPr="00EF2DAB">
        <w:rPr>
          <w:rFonts w:ascii="Arial" w:hAnsi="Arial" w:cs="Arial"/>
          <w:b/>
        </w:rPr>
        <w:t>Comisión para la Juventud y el Deporte 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</w:rPr>
        <w:t>, de manera especial y enunciativa mas no limitativa, fue la siguiente: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8"/>
        <w:gridCol w:w="6270"/>
      </w:tblGrid>
      <w:tr w:rsidR="00235244" w:rsidRPr="00EF2DAB" w14:paraId="489F825A" w14:textId="77777777" w:rsidTr="00024164">
        <w:trPr>
          <w:trHeight w:val="678"/>
          <w:tblHeader/>
          <w:jc w:val="center"/>
        </w:trPr>
        <w:tc>
          <w:tcPr>
            <w:tcW w:w="1764" w:type="pct"/>
            <w:shd w:val="clear" w:color="auto" w:fill="auto"/>
          </w:tcPr>
          <w:p w14:paraId="1C4525CD" w14:textId="6EF1F359" w:rsidR="00235244" w:rsidRPr="00EF2DAB" w:rsidRDefault="00235244" w:rsidP="00222427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222427" w:rsidRPr="00EF2DAB">
              <w:rPr>
                <w:rFonts w:ascii="Arial" w:hAnsi="Arial" w:cs="Arial"/>
                <w:b/>
                <w:bCs/>
              </w:rPr>
              <w:t>2</w:t>
            </w:r>
            <w:r w:rsidRPr="00EF2DAB">
              <w:rPr>
                <w:rFonts w:ascii="Arial" w:hAnsi="Arial" w:cs="Arial"/>
                <w:b/>
                <w:bCs/>
              </w:rPr>
              <w:t>-AEMF-E-GOB-02</w:t>
            </w:r>
            <w:r w:rsidR="00711CF6" w:rsidRPr="00EF2DAB">
              <w:rPr>
                <w:rFonts w:ascii="Arial" w:hAnsi="Arial" w:cs="Arial"/>
                <w:b/>
                <w:bCs/>
              </w:rPr>
              <w:t>9</w:t>
            </w:r>
            <w:r w:rsidR="007E2962" w:rsidRPr="00EF2DAB">
              <w:rPr>
                <w:rFonts w:ascii="Arial" w:hAnsi="Arial" w:cs="Arial"/>
                <w:b/>
                <w:bCs/>
              </w:rPr>
              <w:t>-0</w:t>
            </w:r>
            <w:r w:rsidR="00222427" w:rsidRPr="00EF2DAB">
              <w:rPr>
                <w:rFonts w:ascii="Arial" w:hAnsi="Arial" w:cs="Arial"/>
                <w:b/>
                <w:bCs/>
              </w:rPr>
              <w:t>61</w:t>
            </w:r>
          </w:p>
        </w:tc>
        <w:tc>
          <w:tcPr>
            <w:tcW w:w="3236" w:type="pct"/>
            <w:shd w:val="clear" w:color="auto" w:fill="auto"/>
          </w:tcPr>
          <w:p w14:paraId="49CC95E6" w14:textId="3F65A821" w:rsidR="00235244" w:rsidRPr="00EF2DAB" w:rsidRDefault="00235244" w:rsidP="0022242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 xml:space="preserve">“Auditoría de Cumplimiento Financiero de Ingresos </w:t>
            </w:r>
            <w:r w:rsidR="00222427" w:rsidRPr="00EF2DAB">
              <w:rPr>
                <w:rFonts w:ascii="Arial" w:hAnsi="Arial" w:cs="Arial"/>
                <w:bCs/>
              </w:rPr>
              <w:t>Públicos</w:t>
            </w:r>
            <w:r w:rsidRPr="00EF2DAB">
              <w:rPr>
                <w:rFonts w:ascii="Arial" w:hAnsi="Arial" w:cs="Arial"/>
                <w:bCs/>
              </w:rPr>
              <w:t>”</w:t>
            </w:r>
          </w:p>
        </w:tc>
      </w:tr>
    </w:tbl>
    <w:p w14:paraId="74D1BC4C" w14:textId="77777777" w:rsidR="00474CEC" w:rsidRDefault="00474CEC" w:rsidP="0023524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A58A2D2" w14:textId="6AA5C70A" w:rsidR="00235244" w:rsidRPr="00EF2DAB" w:rsidRDefault="00235244" w:rsidP="00235244">
      <w:pPr>
        <w:spacing w:line="360" w:lineRule="auto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B. Objetivo</w:t>
      </w:r>
    </w:p>
    <w:p w14:paraId="256B09E3" w14:textId="77777777" w:rsidR="00235244" w:rsidRPr="00EF2DAB" w:rsidRDefault="00235244" w:rsidP="0023524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C7A87C1" w14:textId="268D4DB2" w:rsidR="00235244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Fiscalizar la gestión financiera para comprobar el cumplimiento de lo dispuesto en la Ley de Ingresos, y demás disposiciones legales aplicables, en cuanto a los ingresos públicos, incluyendo la revisión del manejo, la custodia y la aplicación de recursos públicos estatales y propios, así como de la información financiera, contable, patrimonial y presupuestaria, conforme a las disposiciones aplicables.</w:t>
      </w:r>
    </w:p>
    <w:p w14:paraId="77D24F21" w14:textId="77777777" w:rsidR="00222427" w:rsidRPr="00EF2DAB" w:rsidRDefault="00222427" w:rsidP="00235244">
      <w:pPr>
        <w:spacing w:line="360" w:lineRule="auto"/>
        <w:jc w:val="both"/>
        <w:rPr>
          <w:rFonts w:ascii="Arial" w:hAnsi="Arial" w:cs="Arial"/>
          <w:bCs/>
        </w:rPr>
      </w:pPr>
    </w:p>
    <w:p w14:paraId="53B6B394" w14:textId="77777777" w:rsidR="00235244" w:rsidRPr="00EF2DAB" w:rsidRDefault="00235244" w:rsidP="00235244">
      <w:pPr>
        <w:spacing w:line="360" w:lineRule="auto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C. Alcance</w:t>
      </w:r>
    </w:p>
    <w:p w14:paraId="23142503" w14:textId="77777777" w:rsidR="00235244" w:rsidRPr="00EF2DAB" w:rsidRDefault="00235244" w:rsidP="00235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DC9B50" w14:textId="6FABCCB1" w:rsidR="00235244" w:rsidRPr="00EF2DAB" w:rsidRDefault="00235244" w:rsidP="00235244">
      <w:pPr>
        <w:spacing w:line="360" w:lineRule="auto"/>
        <w:jc w:val="both"/>
        <w:rPr>
          <w:rFonts w:ascii="Arial" w:hAnsi="Arial" w:cs="Arial"/>
        </w:rPr>
      </w:pPr>
      <w:r w:rsidRPr="00EF2DAB">
        <w:rPr>
          <w:rFonts w:ascii="Arial" w:hAnsi="Arial" w:cs="Arial"/>
          <w:b/>
        </w:rPr>
        <w:t xml:space="preserve">Universo: </w:t>
      </w:r>
      <w:r w:rsidR="00CB3B03" w:rsidRPr="00EF2DAB">
        <w:rPr>
          <w:rFonts w:ascii="Arial" w:hAnsi="Arial" w:cs="Arial"/>
        </w:rPr>
        <w:t>$</w:t>
      </w:r>
      <w:r w:rsidR="00B03A8E" w:rsidRPr="00EF2DAB">
        <w:rPr>
          <w:rFonts w:ascii="Arial" w:hAnsi="Arial" w:cs="Arial"/>
        </w:rPr>
        <w:t>404,763,969.43</w:t>
      </w:r>
    </w:p>
    <w:p w14:paraId="683F20E1" w14:textId="77777777" w:rsidR="00235244" w:rsidRPr="00EF2DAB" w:rsidRDefault="00235244" w:rsidP="00235244">
      <w:pPr>
        <w:spacing w:line="360" w:lineRule="auto"/>
        <w:rPr>
          <w:rFonts w:ascii="Arial" w:hAnsi="Arial" w:cs="Arial"/>
          <w:sz w:val="22"/>
          <w:szCs w:val="22"/>
        </w:rPr>
      </w:pPr>
      <w:bookmarkStart w:id="6" w:name="_Toc518907881"/>
      <w:bookmarkStart w:id="7" w:name="_Toc520196704"/>
    </w:p>
    <w:p w14:paraId="58DD4941" w14:textId="44DE3EB2" w:rsidR="00235244" w:rsidRPr="00EF2DAB" w:rsidRDefault="00235244" w:rsidP="00235244">
      <w:pPr>
        <w:spacing w:line="360" w:lineRule="auto"/>
        <w:rPr>
          <w:rFonts w:ascii="Arial" w:hAnsi="Arial" w:cs="Arial"/>
        </w:rPr>
      </w:pPr>
      <w:r w:rsidRPr="00EF2DAB">
        <w:rPr>
          <w:rFonts w:ascii="Arial" w:hAnsi="Arial" w:cs="Arial"/>
          <w:b/>
        </w:rPr>
        <w:t xml:space="preserve">Población Objetivo: </w:t>
      </w:r>
      <w:r w:rsidR="00CB3B03" w:rsidRPr="00EF2DAB">
        <w:rPr>
          <w:rFonts w:ascii="Arial" w:hAnsi="Arial" w:cs="Arial"/>
        </w:rPr>
        <w:t>$</w:t>
      </w:r>
      <w:r w:rsidR="00F75715" w:rsidRPr="00EF2DAB">
        <w:rPr>
          <w:rFonts w:ascii="Arial" w:hAnsi="Arial" w:cs="Arial"/>
        </w:rPr>
        <w:t>404,653,96</w:t>
      </w:r>
      <w:r w:rsidR="00B03A8E" w:rsidRPr="00EF2DAB">
        <w:rPr>
          <w:rFonts w:ascii="Arial" w:hAnsi="Arial" w:cs="Arial"/>
        </w:rPr>
        <w:t>9.43</w:t>
      </w:r>
    </w:p>
    <w:p w14:paraId="3C502392" w14:textId="77777777" w:rsidR="00235244" w:rsidRPr="00EF2DAB" w:rsidRDefault="00235244" w:rsidP="00235244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69717386" w14:textId="2D183183" w:rsidR="00235244" w:rsidRPr="00EF2DAB" w:rsidRDefault="00235244" w:rsidP="00235244">
      <w:pPr>
        <w:spacing w:line="360" w:lineRule="auto"/>
        <w:rPr>
          <w:rFonts w:ascii="Arial" w:hAnsi="Arial" w:cs="Arial"/>
        </w:rPr>
      </w:pPr>
      <w:r w:rsidRPr="00EF2DAB">
        <w:rPr>
          <w:rFonts w:ascii="Arial" w:hAnsi="Arial" w:cs="Arial"/>
          <w:b/>
        </w:rPr>
        <w:t>Muestra Auditada:</w:t>
      </w:r>
      <w:r w:rsidRPr="00EF2DAB">
        <w:rPr>
          <w:rFonts w:ascii="Arial" w:hAnsi="Arial" w:cs="Arial"/>
        </w:rPr>
        <w:t xml:space="preserve"> </w:t>
      </w:r>
      <w:bookmarkEnd w:id="6"/>
      <w:bookmarkEnd w:id="7"/>
      <w:r w:rsidRPr="00EF2DAB">
        <w:rPr>
          <w:rFonts w:ascii="Arial" w:hAnsi="Arial" w:cs="Arial"/>
        </w:rPr>
        <w:t>$</w:t>
      </w:r>
      <w:r w:rsidR="00B03A8E" w:rsidRPr="00EF2DAB">
        <w:rPr>
          <w:rFonts w:ascii="Arial" w:hAnsi="Arial" w:cs="Arial"/>
        </w:rPr>
        <w:t>295,400,161.00</w:t>
      </w:r>
    </w:p>
    <w:p w14:paraId="4069D391" w14:textId="77777777" w:rsidR="00235244" w:rsidRPr="00EF2DAB" w:rsidRDefault="00235244" w:rsidP="00235244">
      <w:pPr>
        <w:spacing w:line="360" w:lineRule="auto"/>
        <w:rPr>
          <w:rFonts w:ascii="Arial" w:hAnsi="Arial" w:cs="Arial"/>
          <w:sz w:val="22"/>
          <w:szCs w:val="22"/>
          <w:highlight w:val="yellow"/>
        </w:rPr>
      </w:pPr>
    </w:p>
    <w:p w14:paraId="36E62D21" w14:textId="790FAADB" w:rsidR="00235244" w:rsidRPr="00EF2DAB" w:rsidRDefault="00235244" w:rsidP="00235244">
      <w:pPr>
        <w:spacing w:line="360" w:lineRule="auto"/>
        <w:rPr>
          <w:rFonts w:ascii="Arial" w:hAnsi="Arial" w:cs="Arial"/>
        </w:rPr>
      </w:pPr>
      <w:bookmarkStart w:id="8" w:name="_Toc518907882"/>
      <w:bookmarkStart w:id="9" w:name="_Toc520196705"/>
      <w:r w:rsidRPr="00EF2DAB">
        <w:rPr>
          <w:rFonts w:ascii="Arial" w:hAnsi="Arial" w:cs="Arial"/>
          <w:b/>
        </w:rPr>
        <w:t>Representatividad de la Muestra:</w:t>
      </w:r>
      <w:r w:rsidRPr="00EF2DAB">
        <w:rPr>
          <w:rFonts w:ascii="Arial" w:hAnsi="Arial" w:cs="Arial"/>
        </w:rPr>
        <w:t xml:space="preserve"> </w:t>
      </w:r>
      <w:bookmarkEnd w:id="8"/>
      <w:bookmarkEnd w:id="9"/>
      <w:r w:rsidR="00B03A8E" w:rsidRPr="00EF2DAB">
        <w:rPr>
          <w:rFonts w:ascii="Arial" w:hAnsi="Arial" w:cs="Arial"/>
        </w:rPr>
        <w:t>73.00</w:t>
      </w:r>
      <w:r w:rsidR="006710A7" w:rsidRPr="00EF2DAB">
        <w:rPr>
          <w:rFonts w:ascii="Arial" w:hAnsi="Arial" w:cs="Arial"/>
        </w:rPr>
        <w:t>%</w:t>
      </w:r>
    </w:p>
    <w:p w14:paraId="375E2175" w14:textId="77777777" w:rsidR="00235244" w:rsidRPr="00EF2DAB" w:rsidRDefault="00235244" w:rsidP="00235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3BD02B" w14:textId="7178E4B9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En el total del Universo están considerados los recursos federales por la cantidad de $</w:t>
      </w:r>
      <w:r w:rsidR="00B03A8E" w:rsidRPr="00EF2DAB">
        <w:rPr>
          <w:rFonts w:ascii="Arial" w:hAnsi="Arial" w:cs="Arial"/>
        </w:rPr>
        <w:t>110,000.00</w:t>
      </w:r>
      <w:r w:rsidR="001F2506" w:rsidRPr="00EF2DAB">
        <w:rPr>
          <w:rFonts w:ascii="Arial" w:hAnsi="Arial" w:cs="Arial"/>
        </w:rPr>
        <w:t xml:space="preserve"> (Son: </w:t>
      </w:r>
      <w:r w:rsidR="006710A7" w:rsidRPr="00EF2DAB">
        <w:rPr>
          <w:rFonts w:ascii="Arial" w:hAnsi="Arial" w:cs="Arial"/>
        </w:rPr>
        <w:t>ci</w:t>
      </w:r>
      <w:r w:rsidR="00B03A8E" w:rsidRPr="00EF2DAB">
        <w:rPr>
          <w:rFonts w:ascii="Arial" w:hAnsi="Arial" w:cs="Arial"/>
        </w:rPr>
        <w:t xml:space="preserve">ento diez </w:t>
      </w:r>
      <w:r w:rsidR="001F2506" w:rsidRPr="00EF2DAB">
        <w:rPr>
          <w:rFonts w:ascii="Arial" w:hAnsi="Arial" w:cs="Arial"/>
        </w:rPr>
        <w:t xml:space="preserve">mil </w:t>
      </w:r>
      <w:r w:rsidR="00B03A8E" w:rsidRPr="00EF2DAB">
        <w:rPr>
          <w:rFonts w:ascii="Arial" w:hAnsi="Arial" w:cs="Arial"/>
        </w:rPr>
        <w:t>pesos 00</w:t>
      </w:r>
      <w:r w:rsidR="001F2506" w:rsidRPr="00EF2DAB">
        <w:rPr>
          <w:rFonts w:ascii="Arial" w:hAnsi="Arial" w:cs="Arial"/>
        </w:rPr>
        <w:t>/100 M.N.)</w:t>
      </w:r>
      <w:r w:rsidRPr="00EF2DAB">
        <w:rPr>
          <w:rFonts w:ascii="Arial" w:hAnsi="Arial" w:cs="Arial"/>
        </w:rPr>
        <w:t>, los cuales no se contemplaron en el monto de la muestra auditada, quedando integrada la población objetivo únicamente por recursos estatales y propios.</w:t>
      </w:r>
    </w:p>
    <w:p w14:paraId="0F53DC78" w14:textId="77777777" w:rsidR="00235244" w:rsidRPr="00474CEC" w:rsidRDefault="00235244" w:rsidP="006F534F">
      <w:pPr>
        <w:spacing w:line="360" w:lineRule="auto"/>
        <w:ind w:right="49"/>
        <w:jc w:val="both"/>
        <w:rPr>
          <w:rFonts w:ascii="Arial" w:hAnsi="Arial" w:cs="Arial"/>
          <w:sz w:val="16"/>
          <w:szCs w:val="16"/>
        </w:rPr>
      </w:pPr>
    </w:p>
    <w:p w14:paraId="64ADFA7B" w14:textId="18925381" w:rsidR="00235244" w:rsidRPr="00EF2DAB" w:rsidRDefault="00235244" w:rsidP="006F534F">
      <w:pPr>
        <w:tabs>
          <w:tab w:val="left" w:pos="2160"/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bookmarkStart w:id="10" w:name="_Hlk11406313"/>
      <w:r w:rsidRPr="00EF2DAB">
        <w:rPr>
          <w:rFonts w:ascii="Arial" w:hAnsi="Arial" w:cs="Arial"/>
        </w:rPr>
        <w:t>La población objetivo se determinó sobre la base de los ingresos</w:t>
      </w:r>
      <w:r w:rsidR="00222427" w:rsidRPr="00EF2DAB">
        <w:rPr>
          <w:rFonts w:ascii="Arial" w:hAnsi="Arial" w:cs="Arial"/>
        </w:rPr>
        <w:t xml:space="preserve"> devengados</w:t>
      </w:r>
      <w:r w:rsidRPr="00EF2DAB">
        <w:rPr>
          <w:rFonts w:ascii="Arial" w:hAnsi="Arial" w:cs="Arial"/>
        </w:rPr>
        <w:t>, que forman parte del Estado Analítico de Ingresos por Fuente de Financiamiento por el período comprendido del 01 de en</w:t>
      </w:r>
      <w:r w:rsidR="00E4608D" w:rsidRPr="00EF2DAB">
        <w:rPr>
          <w:rFonts w:ascii="Arial" w:hAnsi="Arial" w:cs="Arial"/>
        </w:rPr>
        <w:t>ero al 31 de diciembre de 202</w:t>
      </w:r>
      <w:r w:rsidR="00222427" w:rsidRPr="00EF2DAB">
        <w:rPr>
          <w:rFonts w:ascii="Arial" w:hAnsi="Arial" w:cs="Arial"/>
        </w:rPr>
        <w:t>2</w:t>
      </w:r>
      <w:r w:rsidR="00B14916">
        <w:rPr>
          <w:rFonts w:ascii="Arial" w:hAnsi="Arial" w:cs="Arial"/>
        </w:rPr>
        <w:t>.</w:t>
      </w:r>
    </w:p>
    <w:bookmarkEnd w:id="10"/>
    <w:p w14:paraId="735C557B" w14:textId="77777777" w:rsidR="00235244" w:rsidRPr="00EF2DAB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lastRenderedPageBreak/>
        <w:t>D. Criterios de Selección</w:t>
      </w:r>
    </w:p>
    <w:p w14:paraId="384852CF" w14:textId="77777777" w:rsidR="00235244" w:rsidRPr="00EF2DAB" w:rsidRDefault="00235244" w:rsidP="00235244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99DA43E" w14:textId="354796D8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financiero de los ingresos</w:t>
      </w:r>
      <w:r w:rsidR="00222427" w:rsidRPr="00EF2DAB">
        <w:rPr>
          <w:rFonts w:ascii="Arial" w:hAnsi="Arial" w:cs="Arial"/>
          <w:bCs/>
        </w:rPr>
        <w:t xml:space="preserve"> devengados</w:t>
      </w:r>
      <w:r w:rsidRPr="00EF2DAB">
        <w:rPr>
          <w:rFonts w:ascii="Arial" w:hAnsi="Arial" w:cs="Arial"/>
          <w:bCs/>
        </w:rPr>
        <w:t>, hayan cumplido con los aspectos y criterios apegados a las Normas Profesionales de Auditoría del Sistema Nacional de Fiscalización (NPASNF),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3FB2BE95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7462EB9" w14:textId="212C9D2C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="007E2962" w:rsidRPr="00EF2DAB">
        <w:rPr>
          <w:rFonts w:ascii="Arial" w:hAnsi="Arial" w:cs="Arial"/>
          <w:b/>
        </w:rPr>
        <w:t>Comisión para la Juventud y el Deporte 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  <w:bCs/>
        </w:rPr>
        <w:t xml:space="preserve">, 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</w:t>
      </w:r>
      <w:r w:rsidRPr="00EF2DAB">
        <w:rPr>
          <w:rFonts w:ascii="Arial" w:hAnsi="Arial" w:cs="Arial"/>
        </w:rPr>
        <w:t>histórica</w:t>
      </w:r>
      <w:r w:rsidRPr="00EF2DAB">
        <w:rPr>
          <w:rFonts w:ascii="Arial" w:hAnsi="Arial" w:cs="Arial"/>
          <w:bCs/>
        </w:rPr>
        <w:t>, que se encuentra en los antecedentes de las auditorías practicadas y del marco jurídico institucional, tales como leyes, reglamentos, normas y lineamientos que regulan la operatividad de la entidad fiscalizada, y de los cuales se pudiesen determinar hallazgos de auditoría que se reflejasen en los resultados del objetivo de auditoría planteado al inicio de la revisión.</w:t>
      </w:r>
    </w:p>
    <w:p w14:paraId="6799415A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41310A8" w14:textId="2C94E81C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El criterio de selección se apoyó en dos rubros principales, el cualitativo y el cuantitativo, de acuerdo a las facultades y atribuciones permitidas en el marco legal aplicable del proceso </w:t>
      </w:r>
      <w:r w:rsidRPr="00EF2DAB">
        <w:rPr>
          <w:rFonts w:ascii="Arial" w:hAnsi="Arial" w:cs="Arial"/>
          <w:bCs/>
        </w:rPr>
        <w:lastRenderedPageBreak/>
        <w:t>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0A72B023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6CDBDD8B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E. Áreas Revisadas</w:t>
      </w:r>
    </w:p>
    <w:p w14:paraId="49CF0B7E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1A9346C2" w14:textId="7029E265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</w:rPr>
        <w:t>Se revisaron las áreas de Dirección Administrativa</w:t>
      </w:r>
      <w:r w:rsidRPr="00EF2DAB">
        <w:rPr>
          <w:rFonts w:ascii="Arial" w:hAnsi="Arial" w:cs="Arial"/>
          <w:bCs/>
        </w:rPr>
        <w:t xml:space="preserve"> </w:t>
      </w:r>
      <w:r w:rsidR="007B0210" w:rsidRPr="00EF2DAB">
        <w:rPr>
          <w:rFonts w:ascii="Arial" w:hAnsi="Arial" w:cs="Arial"/>
          <w:bCs/>
        </w:rPr>
        <w:t xml:space="preserve">y Departamento de Recursos Financieros </w:t>
      </w:r>
      <w:r w:rsidRPr="00EF2DAB">
        <w:rPr>
          <w:rFonts w:ascii="Arial" w:hAnsi="Arial" w:cs="Arial"/>
        </w:rPr>
        <w:t>de</w:t>
      </w:r>
      <w:r w:rsidR="007E2962" w:rsidRPr="00EF2DAB">
        <w:rPr>
          <w:rFonts w:ascii="Arial" w:hAnsi="Arial" w:cs="Arial"/>
        </w:rPr>
        <w:t xml:space="preserve"> </w:t>
      </w:r>
      <w:r w:rsidRPr="00EF2DAB">
        <w:rPr>
          <w:rFonts w:ascii="Arial" w:hAnsi="Arial" w:cs="Arial"/>
        </w:rPr>
        <w:t>l</w:t>
      </w:r>
      <w:r w:rsidR="007E2962" w:rsidRPr="00EF2DAB">
        <w:rPr>
          <w:rFonts w:ascii="Arial" w:hAnsi="Arial" w:cs="Arial"/>
        </w:rPr>
        <w:t>a</w:t>
      </w:r>
      <w:r w:rsidRPr="00EF2DAB">
        <w:rPr>
          <w:rFonts w:ascii="Arial" w:hAnsi="Arial" w:cs="Arial"/>
        </w:rPr>
        <w:t xml:space="preserve"> </w:t>
      </w:r>
      <w:r w:rsidR="007E2962" w:rsidRPr="00EF2DAB">
        <w:rPr>
          <w:rFonts w:ascii="Arial" w:hAnsi="Arial" w:cs="Arial"/>
          <w:b/>
          <w:bCs/>
        </w:rPr>
        <w:t>Comisión para la Juventud y el Deporte de Quintana Roo</w:t>
      </w:r>
      <w:r w:rsidR="000408F6" w:rsidRPr="00EF2DAB">
        <w:rPr>
          <w:rFonts w:ascii="Arial" w:hAnsi="Arial" w:cs="Arial"/>
          <w:b/>
          <w:bCs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  <w:bCs/>
        </w:rPr>
        <w:t>.</w:t>
      </w:r>
    </w:p>
    <w:p w14:paraId="4BD3160A" w14:textId="77777777" w:rsidR="00865393" w:rsidRPr="00EF2DAB" w:rsidRDefault="00865393" w:rsidP="006F534F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1030058F" w14:textId="3FAA136E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F. Procedimientos de Auditoría Aplicados</w:t>
      </w:r>
    </w:p>
    <w:p w14:paraId="1D51E5D7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</w:p>
    <w:p w14:paraId="69EB26FE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7D43DFD2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14:paraId="2FEE7DAA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lastRenderedPageBreak/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14:paraId="6B57BEB1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  <w:sz w:val="22"/>
          <w:szCs w:val="22"/>
        </w:rPr>
      </w:pPr>
    </w:p>
    <w:p w14:paraId="203B87A3" w14:textId="14C296CC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EF2DAB">
        <w:rPr>
          <w:rFonts w:ascii="Arial" w:hAnsi="Arial" w:cs="Arial"/>
          <w:bCs/>
        </w:rPr>
        <w:t>recálculo</w:t>
      </w:r>
      <w:proofErr w:type="spellEnd"/>
      <w:r w:rsidRPr="00EF2DAB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81FD6FF" w14:textId="77777777" w:rsidR="00865393" w:rsidRPr="00EF2DAB" w:rsidRDefault="00865393" w:rsidP="006F534F">
      <w:pPr>
        <w:spacing w:line="360" w:lineRule="auto"/>
        <w:ind w:right="49"/>
        <w:jc w:val="both"/>
        <w:rPr>
          <w:rFonts w:ascii="Arial" w:hAnsi="Arial" w:cs="Arial"/>
          <w:bCs/>
          <w:sz w:val="16"/>
          <w:szCs w:val="16"/>
        </w:rPr>
      </w:pPr>
    </w:p>
    <w:p w14:paraId="74B4F801" w14:textId="77777777" w:rsidR="00235244" w:rsidRPr="00EF2DAB" w:rsidRDefault="0023524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122A0339" w14:textId="77777777" w:rsidR="00356C6D" w:rsidRPr="00EF2DAB" w:rsidRDefault="00356C6D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BD8E56E" w14:textId="77777777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EF2DAB">
        <w:rPr>
          <w:rFonts w:ascii="Arial" w:hAnsi="Arial" w:cs="Arial"/>
          <w:bCs/>
          <w:iCs/>
        </w:rPr>
        <w:t xml:space="preserve">1. </w:t>
      </w:r>
      <w:r w:rsidRPr="00EF2DAB">
        <w:rPr>
          <w:rFonts w:ascii="Arial" w:hAnsi="Arial" w:cs="Arial"/>
          <w:bCs/>
          <w:iCs/>
          <w:shd w:val="clear" w:color="auto" w:fill="FFFFFF" w:themeFill="background1"/>
        </w:rPr>
        <w:t>Verificar que los controles internos implementados permitieron la adecuada gestión administrativa para el desarrollo eficiente de las operaciones, la obtención de información confiable y oportuna.</w:t>
      </w:r>
    </w:p>
    <w:p w14:paraId="6AE66E72" w14:textId="77777777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  <w:bCs/>
          <w:iCs/>
          <w:sz w:val="22"/>
          <w:szCs w:val="22"/>
          <w:shd w:val="clear" w:color="auto" w:fill="FFFFFF" w:themeFill="background1"/>
        </w:rPr>
      </w:pPr>
    </w:p>
    <w:p w14:paraId="2528022D" w14:textId="77777777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2. Comprobar que el ejercicio del presupuesto se ajustó a los montos estimados; que las modificaciones presupuestales tuvieron sustento financiero y que fueron aprobadas por quien era competente para ello.</w:t>
      </w:r>
    </w:p>
    <w:p w14:paraId="0AE84E72" w14:textId="77777777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0D161394" w14:textId="77777777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 xml:space="preserve">3. Constatar que los ingresos por Transferencias, Asignaciones, Subsidios, Subvenciones, Pensiones y Jubilaciones se determinaron, justificaron, cobraron, depositaron, registraron y presentaron en los Estados Financieros y en la Cuenta Pública, de conformidad con las disposiciones jurídicas aplicables. </w:t>
      </w:r>
    </w:p>
    <w:p w14:paraId="7B723A1E" w14:textId="145A4573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lastRenderedPageBreak/>
        <w:t xml:space="preserve">4. Conciliar los recursos transferidos por la Secretaría de Finanzas y Planeación del Estado de Quintana Roo, con los registros contables y presupuestarios del ente </w:t>
      </w:r>
      <w:proofErr w:type="spellStart"/>
      <w:r w:rsidRPr="00EF2DAB">
        <w:rPr>
          <w:rFonts w:ascii="Arial" w:hAnsi="Arial" w:cs="Arial"/>
        </w:rPr>
        <w:t>fiscalizado</w:t>
      </w:r>
      <w:proofErr w:type="spellEnd"/>
      <w:r w:rsidRPr="00EF2DAB">
        <w:rPr>
          <w:rFonts w:ascii="Arial" w:hAnsi="Arial" w:cs="Arial"/>
        </w:rPr>
        <w:t>.</w:t>
      </w:r>
    </w:p>
    <w:p w14:paraId="604AB280" w14:textId="77777777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</w:p>
    <w:p w14:paraId="682C8735" w14:textId="7039CB7C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  <w:bCs/>
          <w:lang w:val="es-ES"/>
        </w:rPr>
      </w:pPr>
      <w:r w:rsidRPr="00EF2DAB">
        <w:rPr>
          <w:rFonts w:ascii="Arial" w:hAnsi="Arial" w:cs="Arial"/>
        </w:rPr>
        <w:t xml:space="preserve">5. </w:t>
      </w:r>
      <w:r w:rsidRPr="00EF2DAB">
        <w:rPr>
          <w:rFonts w:ascii="Arial" w:hAnsi="Arial" w:cs="Arial"/>
          <w:bCs/>
          <w:lang w:val="es-ES"/>
        </w:rPr>
        <w:t>Constatar que la Comisión registró las etapas del presupuesto en las cuentas contables que, para tal efecto, establece el Consejo Nacional de Armonización Contable, las cuales en lo relativo a la Ley de Ingresos deberán reflejar: el estimado, modificado, devengado y recaudado.</w:t>
      </w:r>
    </w:p>
    <w:p w14:paraId="1CE521AC" w14:textId="77777777" w:rsidR="00711CF6" w:rsidRPr="00EF2DAB" w:rsidRDefault="00711CF6" w:rsidP="006F534F">
      <w:pPr>
        <w:shd w:val="clear" w:color="auto" w:fill="FFFFFF" w:themeFill="background1"/>
        <w:spacing w:line="360" w:lineRule="auto"/>
        <w:ind w:right="49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14:paraId="729AD3FF" w14:textId="400CA8C8" w:rsidR="008610C0" w:rsidRPr="00EF2DAB" w:rsidRDefault="008610C0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La fiscalización se realizó </w:t>
      </w:r>
      <w:r w:rsidR="00B716AA" w:rsidRPr="00EF2DAB">
        <w:rPr>
          <w:rFonts w:ascii="Arial" w:hAnsi="Arial" w:cs="Arial"/>
          <w:bCs/>
        </w:rPr>
        <w:t xml:space="preserve">conforme a los principios de legalidad, </w:t>
      </w:r>
      <w:proofErr w:type="spellStart"/>
      <w:r w:rsidR="00B716AA" w:rsidRPr="00EF2DAB">
        <w:rPr>
          <w:rFonts w:ascii="Arial" w:hAnsi="Arial" w:cs="Arial"/>
          <w:bCs/>
        </w:rPr>
        <w:t>definitividad</w:t>
      </w:r>
      <w:proofErr w:type="spellEnd"/>
      <w:r w:rsidR="00B716AA" w:rsidRPr="00EF2DAB">
        <w:rPr>
          <w:rFonts w:ascii="Arial" w:hAnsi="Arial" w:cs="Arial"/>
          <w:bCs/>
        </w:rPr>
        <w:t xml:space="preserve">, imparcialidad y confiabilidad, </w:t>
      </w:r>
      <w:r w:rsidR="00157F0C" w:rsidRPr="00EF2DAB">
        <w:rPr>
          <w:rFonts w:ascii="Arial" w:hAnsi="Arial" w:cs="Arial"/>
          <w:bCs/>
        </w:rPr>
        <w:t xml:space="preserve">bajo </w:t>
      </w:r>
      <w:r w:rsidR="00B716AA" w:rsidRPr="00EF2DAB">
        <w:rPr>
          <w:rFonts w:ascii="Arial" w:hAnsi="Arial" w:cs="Arial"/>
          <w:bCs/>
        </w:rPr>
        <w:t xml:space="preserve">un marco jurídico </w:t>
      </w:r>
      <w:r w:rsidR="00157F0C" w:rsidRPr="00EF2DAB">
        <w:rPr>
          <w:rFonts w:ascii="Arial" w:hAnsi="Arial" w:cs="Arial"/>
          <w:bCs/>
        </w:rPr>
        <w:t>que establece</w:t>
      </w:r>
      <w:r w:rsidR="00B716AA" w:rsidRPr="00EF2DAB">
        <w:rPr>
          <w:rFonts w:ascii="Arial" w:hAnsi="Arial" w:cs="Arial"/>
          <w:bCs/>
        </w:rPr>
        <w:t xml:space="preserve"> claramente el alcance de</w:t>
      </w:r>
      <w:r w:rsidR="00157F0C" w:rsidRPr="00EF2DAB">
        <w:rPr>
          <w:rFonts w:ascii="Arial" w:hAnsi="Arial" w:cs="Arial"/>
          <w:bCs/>
        </w:rPr>
        <w:t xml:space="preserve"> </w:t>
      </w:r>
      <w:r w:rsidR="00B716AA" w:rsidRPr="00EF2DAB">
        <w:rPr>
          <w:rFonts w:ascii="Arial" w:hAnsi="Arial" w:cs="Arial"/>
          <w:bCs/>
        </w:rPr>
        <w:t xml:space="preserve">la autonomía de </w:t>
      </w:r>
      <w:r w:rsidR="00157F0C" w:rsidRPr="00EF2DAB">
        <w:rPr>
          <w:rFonts w:ascii="Arial" w:hAnsi="Arial" w:cs="Arial"/>
          <w:bCs/>
        </w:rPr>
        <w:t xml:space="preserve">este </w:t>
      </w:r>
      <w:r w:rsidR="000F598B" w:rsidRPr="00EF2DAB">
        <w:rPr>
          <w:rFonts w:ascii="Arial" w:hAnsi="Arial" w:cs="Arial"/>
          <w:bCs/>
        </w:rPr>
        <w:t>organismo auditor</w:t>
      </w:r>
      <w:r w:rsidR="00B716AA" w:rsidRPr="00EF2DAB">
        <w:rPr>
          <w:rFonts w:ascii="Arial" w:hAnsi="Arial" w:cs="Arial"/>
          <w:bCs/>
        </w:rPr>
        <w:t>, salvaguardando la eficiencia y</w:t>
      </w:r>
      <w:r w:rsidR="00157F0C" w:rsidRPr="00EF2DAB">
        <w:rPr>
          <w:rFonts w:ascii="Arial" w:hAnsi="Arial" w:cs="Arial"/>
          <w:bCs/>
        </w:rPr>
        <w:t xml:space="preserve"> </w:t>
      </w:r>
      <w:r w:rsidR="00B716AA" w:rsidRPr="00EF2DAB">
        <w:rPr>
          <w:rFonts w:ascii="Arial" w:hAnsi="Arial" w:cs="Arial"/>
          <w:bCs/>
        </w:rPr>
        <w:t>eficacia en el cumplimiento de sus atribuciones y el uso de una perspectiva</w:t>
      </w:r>
      <w:r w:rsidR="00157F0C" w:rsidRPr="00EF2DAB">
        <w:rPr>
          <w:rFonts w:ascii="Arial" w:hAnsi="Arial" w:cs="Arial"/>
          <w:bCs/>
        </w:rPr>
        <w:t xml:space="preserve"> </w:t>
      </w:r>
      <w:r w:rsidR="00B716AA" w:rsidRPr="00EF2DAB">
        <w:rPr>
          <w:rFonts w:ascii="Arial" w:hAnsi="Arial" w:cs="Arial"/>
          <w:bCs/>
        </w:rPr>
        <w:t>y un criterio independiente y responsable con el interés público</w:t>
      </w:r>
      <w:r w:rsidR="000F598B" w:rsidRPr="00EF2DAB">
        <w:rPr>
          <w:rFonts w:ascii="Arial" w:hAnsi="Arial" w:cs="Arial"/>
          <w:bCs/>
        </w:rPr>
        <w:t xml:space="preserve">, </w:t>
      </w:r>
      <w:r w:rsidRPr="00EF2DAB">
        <w:rPr>
          <w:rFonts w:ascii="Arial" w:hAnsi="Arial" w:cs="Arial"/>
          <w:bCs/>
        </w:rPr>
        <w:t xml:space="preserve">que </w:t>
      </w:r>
      <w:r w:rsidR="00480A82" w:rsidRPr="00EF2DAB">
        <w:rPr>
          <w:rFonts w:ascii="Arial" w:hAnsi="Arial" w:cs="Arial"/>
          <w:bCs/>
        </w:rPr>
        <w:t>permitieron</w:t>
      </w:r>
      <w:r w:rsidRPr="00EF2DAB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BB7B42B" w14:textId="434E5B2C" w:rsidR="00F64F30" w:rsidRPr="00EF2DAB" w:rsidRDefault="00F64F30" w:rsidP="006F534F">
      <w:pPr>
        <w:spacing w:line="360" w:lineRule="auto"/>
        <w:ind w:right="49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EF2DAB" w:rsidRDefault="008610C0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G</w:t>
      </w:r>
      <w:r w:rsidR="00855650" w:rsidRPr="00EF2DAB">
        <w:rPr>
          <w:rFonts w:ascii="Arial" w:hAnsi="Arial" w:cs="Arial"/>
          <w:b/>
        </w:rPr>
        <w:t xml:space="preserve">. Servidores </w:t>
      </w:r>
      <w:r w:rsidR="00FA4D20" w:rsidRPr="00EF2DAB">
        <w:rPr>
          <w:rFonts w:ascii="Arial" w:hAnsi="Arial" w:cs="Arial"/>
          <w:b/>
        </w:rPr>
        <w:t>P</w:t>
      </w:r>
      <w:r w:rsidR="00E43850" w:rsidRPr="00EF2DAB">
        <w:rPr>
          <w:rFonts w:ascii="Arial" w:hAnsi="Arial" w:cs="Arial"/>
          <w:b/>
        </w:rPr>
        <w:t xml:space="preserve">úblicos </w:t>
      </w:r>
      <w:r w:rsidR="001715FF" w:rsidRPr="00EF2DAB">
        <w:rPr>
          <w:rFonts w:ascii="Arial" w:hAnsi="Arial" w:cs="Arial"/>
          <w:b/>
        </w:rPr>
        <w:t>que intervinieron en</w:t>
      </w:r>
      <w:r w:rsidR="00E43850" w:rsidRPr="00EF2DAB">
        <w:rPr>
          <w:rFonts w:ascii="Arial" w:hAnsi="Arial" w:cs="Arial"/>
          <w:b/>
        </w:rPr>
        <w:t xml:space="preserve"> la </w:t>
      </w:r>
      <w:r w:rsidR="00FA4D20" w:rsidRPr="00EF2DAB">
        <w:rPr>
          <w:rFonts w:ascii="Arial" w:hAnsi="Arial" w:cs="Arial"/>
          <w:b/>
        </w:rPr>
        <w:t>A</w:t>
      </w:r>
      <w:r w:rsidR="00E43850" w:rsidRPr="00EF2DAB">
        <w:rPr>
          <w:rFonts w:ascii="Arial" w:hAnsi="Arial" w:cs="Arial"/>
          <w:b/>
        </w:rPr>
        <w:t>uditoría</w:t>
      </w:r>
    </w:p>
    <w:p w14:paraId="679F8E29" w14:textId="77777777" w:rsidR="00D1152D" w:rsidRPr="00EF2DAB" w:rsidRDefault="00D1152D" w:rsidP="006F534F">
      <w:pPr>
        <w:spacing w:line="360" w:lineRule="auto"/>
        <w:ind w:right="49"/>
        <w:jc w:val="both"/>
        <w:rPr>
          <w:rFonts w:ascii="Arial" w:hAnsi="Arial" w:cs="Arial"/>
          <w:bCs/>
          <w:sz w:val="20"/>
          <w:szCs w:val="20"/>
        </w:rPr>
      </w:pPr>
    </w:p>
    <w:p w14:paraId="5DE7FC59" w14:textId="13176210" w:rsidR="00855650" w:rsidRPr="00EF2DAB" w:rsidRDefault="00855650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>El personal designado</w:t>
      </w:r>
      <w:r w:rsidR="00F6281B" w:rsidRPr="00EF2DAB">
        <w:rPr>
          <w:rFonts w:ascii="Arial" w:hAnsi="Arial" w:cs="Arial"/>
          <w:bCs/>
        </w:rPr>
        <w:t>,</w:t>
      </w:r>
      <w:r w:rsidRPr="00EF2DAB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EF2DAB">
        <w:rPr>
          <w:rFonts w:ascii="Arial" w:hAnsi="Arial" w:cs="Arial"/>
          <w:bCs/>
        </w:rPr>
        <w:t>mismo</w:t>
      </w:r>
      <w:r w:rsidR="00F6281B" w:rsidRPr="00EF2DAB">
        <w:rPr>
          <w:rFonts w:ascii="Arial" w:hAnsi="Arial" w:cs="Arial"/>
          <w:bCs/>
        </w:rPr>
        <w:t xml:space="preserve"> que</w:t>
      </w:r>
      <w:r w:rsidRPr="00EF2DAB">
        <w:rPr>
          <w:rFonts w:ascii="Arial" w:hAnsi="Arial" w:cs="Arial"/>
          <w:bCs/>
        </w:rPr>
        <w:t xml:space="preserve"> se </w:t>
      </w:r>
      <w:r w:rsidR="003B18C4" w:rsidRPr="00EF2DAB">
        <w:rPr>
          <w:rFonts w:ascii="Arial" w:hAnsi="Arial" w:cs="Arial"/>
          <w:bCs/>
        </w:rPr>
        <w:t>acreditó</w:t>
      </w:r>
      <w:r w:rsidRPr="00EF2DAB">
        <w:rPr>
          <w:rFonts w:ascii="Arial" w:hAnsi="Arial" w:cs="Arial"/>
          <w:bCs/>
        </w:rPr>
        <w:t xml:space="preserve"> como personal de este Órgano Técnico de Fiscalización, </w:t>
      </w:r>
      <w:r w:rsidR="00A44EBC" w:rsidRPr="00EF2DAB">
        <w:rPr>
          <w:rFonts w:ascii="Arial" w:hAnsi="Arial" w:cs="Arial"/>
          <w:bCs/>
        </w:rPr>
        <w:t>se encuentra referido en</w:t>
      </w:r>
      <w:r w:rsidR="00F97FE3" w:rsidRPr="00EF2DAB">
        <w:rPr>
          <w:rFonts w:ascii="Arial" w:hAnsi="Arial" w:cs="Arial"/>
          <w:bCs/>
        </w:rPr>
        <w:t xml:space="preserve"> la</w:t>
      </w:r>
      <w:r w:rsidR="0004250B" w:rsidRPr="00EF2DAB">
        <w:rPr>
          <w:rFonts w:ascii="Arial" w:hAnsi="Arial" w:cs="Arial"/>
          <w:bCs/>
        </w:rPr>
        <w:t xml:space="preserve"> orden e</w:t>
      </w:r>
      <w:r w:rsidR="00A44EBC" w:rsidRPr="00EF2DAB">
        <w:rPr>
          <w:rFonts w:ascii="Arial" w:hAnsi="Arial" w:cs="Arial"/>
          <w:bCs/>
        </w:rPr>
        <w:t xml:space="preserve">mitida </w:t>
      </w:r>
      <w:r w:rsidR="00F97FE3" w:rsidRPr="00EF2DAB">
        <w:rPr>
          <w:rFonts w:ascii="Arial" w:hAnsi="Arial" w:cs="Arial"/>
          <w:bCs/>
        </w:rPr>
        <w:t>con oficio número</w:t>
      </w:r>
      <w:r w:rsidR="00B87C78" w:rsidRPr="00EF2DAB">
        <w:rPr>
          <w:rFonts w:ascii="Arial" w:hAnsi="Arial" w:cs="Arial"/>
          <w:bCs/>
        </w:rPr>
        <w:t xml:space="preserve"> </w:t>
      </w:r>
      <w:r w:rsidR="00406F79" w:rsidRPr="00EF2DAB">
        <w:rPr>
          <w:rFonts w:ascii="Arial" w:hAnsi="Arial" w:cs="Arial"/>
          <w:bCs/>
        </w:rPr>
        <w:t>ASEQROO/ASE/AEMF/</w:t>
      </w:r>
      <w:r w:rsidR="00222427" w:rsidRPr="00EF2DAB">
        <w:rPr>
          <w:rFonts w:ascii="Arial" w:hAnsi="Arial" w:cs="Arial"/>
          <w:bCs/>
        </w:rPr>
        <w:t>0815/07</w:t>
      </w:r>
      <w:r w:rsidR="0030020F" w:rsidRPr="00EF2DAB">
        <w:rPr>
          <w:rFonts w:ascii="Arial" w:hAnsi="Arial" w:cs="Arial"/>
          <w:bCs/>
        </w:rPr>
        <w:t>/202</w:t>
      </w:r>
      <w:r w:rsidR="00222427" w:rsidRPr="00EF2DAB">
        <w:rPr>
          <w:rFonts w:ascii="Arial" w:hAnsi="Arial" w:cs="Arial"/>
          <w:bCs/>
        </w:rPr>
        <w:t>3</w:t>
      </w:r>
      <w:r w:rsidR="00406F79" w:rsidRPr="00EF2DAB">
        <w:rPr>
          <w:rFonts w:ascii="Arial" w:hAnsi="Arial" w:cs="Arial"/>
          <w:bCs/>
        </w:rPr>
        <w:t xml:space="preserve">, </w:t>
      </w:r>
      <w:r w:rsidR="00E64E6A" w:rsidRPr="00EF2DAB">
        <w:rPr>
          <w:rFonts w:ascii="Arial" w:hAnsi="Arial" w:cs="Arial"/>
          <w:bCs/>
        </w:rPr>
        <w:t xml:space="preserve">siendo </w:t>
      </w:r>
      <w:r w:rsidR="00222427" w:rsidRPr="00EF2DAB">
        <w:rPr>
          <w:rFonts w:ascii="Arial" w:hAnsi="Arial" w:cs="Arial"/>
          <w:bCs/>
        </w:rPr>
        <w:t>las</w:t>
      </w:r>
      <w:r w:rsidR="001715FF" w:rsidRPr="00EF2DAB">
        <w:rPr>
          <w:rFonts w:ascii="Arial" w:hAnsi="Arial" w:cs="Arial"/>
          <w:bCs/>
        </w:rPr>
        <w:t xml:space="preserve"> servidor</w:t>
      </w:r>
      <w:r w:rsidR="00222427" w:rsidRPr="00EF2DAB">
        <w:rPr>
          <w:rFonts w:ascii="Arial" w:hAnsi="Arial" w:cs="Arial"/>
          <w:bCs/>
        </w:rPr>
        <w:t>as públicas</w:t>
      </w:r>
      <w:r w:rsidR="00E64E6A" w:rsidRPr="00EF2DAB">
        <w:rPr>
          <w:rFonts w:ascii="Arial" w:hAnsi="Arial" w:cs="Arial"/>
          <w:bCs/>
        </w:rPr>
        <w:t xml:space="preserve"> a cargo de </w:t>
      </w:r>
      <w:r w:rsidR="009A657F" w:rsidRPr="00EF2DAB">
        <w:rPr>
          <w:rFonts w:ascii="Arial" w:hAnsi="Arial" w:cs="Arial"/>
          <w:bCs/>
        </w:rPr>
        <w:t xml:space="preserve">coordinar y supervisar </w:t>
      </w:r>
      <w:r w:rsidR="00E64E6A" w:rsidRPr="00EF2DAB">
        <w:rPr>
          <w:rFonts w:ascii="Arial" w:hAnsi="Arial" w:cs="Arial"/>
          <w:bCs/>
        </w:rPr>
        <w:t xml:space="preserve">la auditoría, </w:t>
      </w:r>
      <w:r w:rsidR="00ED2D0F" w:rsidRPr="00EF2DAB">
        <w:rPr>
          <w:rFonts w:ascii="Arial" w:hAnsi="Arial" w:cs="Arial"/>
          <w:bCs/>
        </w:rPr>
        <w:t>la</w:t>
      </w:r>
      <w:r w:rsidR="00222427" w:rsidRPr="00EF2DAB">
        <w:rPr>
          <w:rFonts w:ascii="Arial" w:hAnsi="Arial" w:cs="Arial"/>
          <w:bCs/>
        </w:rPr>
        <w:t>s</w:t>
      </w:r>
      <w:r w:rsidR="00E64E6A" w:rsidRPr="00EF2DAB">
        <w:rPr>
          <w:rFonts w:ascii="Arial" w:hAnsi="Arial" w:cs="Arial"/>
          <w:bCs/>
        </w:rPr>
        <w:t xml:space="preserve"> siguiente</w:t>
      </w:r>
      <w:r w:rsidR="00222427" w:rsidRPr="00EF2DAB">
        <w:rPr>
          <w:rFonts w:ascii="Arial" w:hAnsi="Arial" w:cs="Arial"/>
          <w:bCs/>
        </w:rPr>
        <w:t>s</w:t>
      </w:r>
      <w:r w:rsidR="00A44EBC" w:rsidRPr="00EF2DAB">
        <w:rPr>
          <w:rFonts w:ascii="Arial" w:hAnsi="Arial" w:cs="Arial"/>
          <w:bCs/>
        </w:rPr>
        <w:t>:</w:t>
      </w:r>
    </w:p>
    <w:p w14:paraId="1052D541" w14:textId="77777777" w:rsidR="00CF3871" w:rsidRPr="00EF2DAB" w:rsidRDefault="00CF3871" w:rsidP="00F66630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406F79" w:rsidRPr="00EF2DAB" w14:paraId="3892B032" w14:textId="77777777" w:rsidTr="00BD0009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61D04203" w14:textId="77777777" w:rsidR="00406F79" w:rsidRPr="00EF2DAB" w:rsidRDefault="00406F79" w:rsidP="00F6663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D816880" w14:textId="77777777" w:rsidR="00406F79" w:rsidRPr="00EF2DAB" w:rsidRDefault="00406F79" w:rsidP="00F6663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406F79" w:rsidRPr="00EF2DAB" w14:paraId="68A1DE4F" w14:textId="77777777" w:rsidTr="00BD0009">
        <w:trPr>
          <w:jc w:val="center"/>
        </w:trPr>
        <w:tc>
          <w:tcPr>
            <w:tcW w:w="6374" w:type="dxa"/>
            <w:shd w:val="clear" w:color="auto" w:fill="auto"/>
          </w:tcPr>
          <w:p w14:paraId="6E7E42C1" w14:textId="58FA1B62" w:rsidR="00406F79" w:rsidRPr="00EF2DAB" w:rsidRDefault="00406F79" w:rsidP="00222427">
            <w:pPr>
              <w:spacing w:line="360" w:lineRule="auto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>M.</w:t>
            </w:r>
            <w:r w:rsidR="00222427" w:rsidRPr="00EF2DAB">
              <w:rPr>
                <w:rFonts w:ascii="Arial" w:hAnsi="Arial" w:cs="Arial"/>
                <w:bCs/>
              </w:rPr>
              <w:t xml:space="preserve"> en </w:t>
            </w:r>
            <w:proofErr w:type="spellStart"/>
            <w:r w:rsidR="00222427" w:rsidRPr="00EF2DAB">
              <w:rPr>
                <w:rFonts w:ascii="Arial" w:hAnsi="Arial" w:cs="Arial"/>
                <w:bCs/>
              </w:rPr>
              <w:t>Aud</w:t>
            </w:r>
            <w:proofErr w:type="spellEnd"/>
            <w:r w:rsidR="00222427" w:rsidRPr="00EF2DAB">
              <w:rPr>
                <w:rFonts w:ascii="Arial" w:hAnsi="Arial" w:cs="Arial"/>
                <w:bCs/>
              </w:rPr>
              <w:t>.</w:t>
            </w:r>
            <w:r w:rsidRPr="00EF2DAB">
              <w:rPr>
                <w:rFonts w:ascii="Arial" w:hAnsi="Arial" w:cs="Arial"/>
                <w:bCs/>
              </w:rPr>
              <w:t xml:space="preserve"> Adelaida Hernández Marcial</w:t>
            </w:r>
          </w:p>
        </w:tc>
        <w:tc>
          <w:tcPr>
            <w:tcW w:w="2977" w:type="dxa"/>
            <w:shd w:val="clear" w:color="auto" w:fill="auto"/>
          </w:tcPr>
          <w:p w14:paraId="7CD3E916" w14:textId="2C1CAFCA" w:rsidR="00406F79" w:rsidRPr="00EF2DAB" w:rsidRDefault="00406F79" w:rsidP="0022242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>Coordinador</w:t>
            </w:r>
            <w:r w:rsidR="00711CF6" w:rsidRPr="00EF2DAB">
              <w:rPr>
                <w:rFonts w:ascii="Arial" w:hAnsi="Arial" w:cs="Arial"/>
                <w:bCs/>
              </w:rPr>
              <w:t>a</w:t>
            </w:r>
          </w:p>
        </w:tc>
      </w:tr>
      <w:tr w:rsidR="00222427" w:rsidRPr="00EF2DAB" w14:paraId="4B3E13F8" w14:textId="77777777" w:rsidTr="00BD0009">
        <w:trPr>
          <w:jc w:val="center"/>
        </w:trPr>
        <w:tc>
          <w:tcPr>
            <w:tcW w:w="6374" w:type="dxa"/>
            <w:shd w:val="clear" w:color="auto" w:fill="auto"/>
          </w:tcPr>
          <w:p w14:paraId="426862E5" w14:textId="6F96FD1F" w:rsidR="00222427" w:rsidRPr="00EF2DAB" w:rsidRDefault="00222427" w:rsidP="00F66630">
            <w:pPr>
              <w:spacing w:line="360" w:lineRule="auto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>L.C. María Victoria Ochoa Muñoz</w:t>
            </w:r>
          </w:p>
        </w:tc>
        <w:tc>
          <w:tcPr>
            <w:tcW w:w="2977" w:type="dxa"/>
            <w:shd w:val="clear" w:color="auto" w:fill="auto"/>
          </w:tcPr>
          <w:p w14:paraId="39A6B36C" w14:textId="2312E075" w:rsidR="00222427" w:rsidRPr="00EF2DAB" w:rsidRDefault="00222427" w:rsidP="0022242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>Supervisora</w:t>
            </w:r>
          </w:p>
        </w:tc>
      </w:tr>
    </w:tbl>
    <w:p w14:paraId="507D5E3D" w14:textId="77777777" w:rsidR="00615C7A" w:rsidRPr="00EF2DAB" w:rsidRDefault="005F7A39" w:rsidP="00F66630">
      <w:pPr>
        <w:spacing w:line="360" w:lineRule="auto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lastRenderedPageBreak/>
        <w:t>I</w:t>
      </w:r>
      <w:r w:rsidR="00C47B98" w:rsidRPr="00EF2DAB">
        <w:rPr>
          <w:rFonts w:ascii="Arial" w:hAnsi="Arial" w:cs="Arial"/>
          <w:b/>
        </w:rPr>
        <w:t>.2</w:t>
      </w:r>
      <w:r w:rsidRPr="00EF2DAB">
        <w:rPr>
          <w:rFonts w:ascii="Arial" w:hAnsi="Arial" w:cs="Arial"/>
          <w:b/>
        </w:rPr>
        <w:t>.</w:t>
      </w:r>
      <w:r w:rsidR="004D1CA5" w:rsidRPr="00EF2DAB">
        <w:rPr>
          <w:rFonts w:ascii="Arial" w:hAnsi="Arial" w:cs="Arial"/>
          <w:b/>
        </w:rPr>
        <w:t xml:space="preserve"> </w:t>
      </w:r>
      <w:r w:rsidRPr="00EF2DAB">
        <w:rPr>
          <w:rFonts w:ascii="Arial" w:hAnsi="Arial" w:cs="Arial"/>
          <w:b/>
        </w:rPr>
        <w:t xml:space="preserve">CUMPLIMIENTO DE </w:t>
      </w:r>
      <w:r w:rsidR="0073389F" w:rsidRPr="00EF2DAB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EF2DAB" w:rsidRDefault="005E4A7A" w:rsidP="00F66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4A49E1" w14:textId="451B1AC4" w:rsidR="00222427" w:rsidRDefault="00222427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>La revisión se llevó a cabo aplicando Normas Profesionales de Auditoría del Sistema Nacional de Fiscalización, así como en apego a la Ley General de Contabilidad Gubernamental, Ley de Ingresos y lo emitido por el Consejo Nacional de Armonización Contable (CONAC), dando cumplimiento a las diversas disposiciones legales y normativas aplicables, en observancia al artículo 38 fracción III de la Ley de Fiscalización y Rendición de Cuentas del Estado de Quintana Roo;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</w:t>
      </w:r>
      <w:r w:rsidR="00B7265B" w:rsidRPr="00EF2DAB">
        <w:rPr>
          <w:rFonts w:ascii="Arial" w:hAnsi="Arial" w:cs="Arial"/>
          <w:bCs/>
        </w:rPr>
        <w:t xml:space="preserve"> de Auditoría</w:t>
      </w:r>
      <w:r w:rsidRPr="00EF2DAB">
        <w:rPr>
          <w:rFonts w:ascii="Arial" w:hAnsi="Arial" w:cs="Arial"/>
          <w:bCs/>
        </w:rPr>
        <w:t>.</w:t>
      </w:r>
    </w:p>
    <w:p w14:paraId="3BDEA6C6" w14:textId="77777777" w:rsidR="00B14916" w:rsidRPr="00EF2DAB" w:rsidRDefault="00B14916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DCC42EC" w14:textId="0E8E084A" w:rsidR="00F87946" w:rsidRPr="00EF2DAB" w:rsidRDefault="00212E90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A</w:t>
      </w:r>
      <w:r w:rsidR="00F87946" w:rsidRPr="00EF2DAB">
        <w:rPr>
          <w:rFonts w:ascii="Arial" w:hAnsi="Arial" w:cs="Arial"/>
          <w:b/>
        </w:rPr>
        <w:t xml:space="preserve">. </w:t>
      </w:r>
      <w:r w:rsidRPr="00EF2DAB">
        <w:rPr>
          <w:rFonts w:ascii="Arial" w:hAnsi="Arial" w:cs="Arial"/>
          <w:b/>
        </w:rPr>
        <w:t>Conclusiones</w:t>
      </w:r>
    </w:p>
    <w:p w14:paraId="4FEC10C1" w14:textId="77777777" w:rsidR="003F4C47" w:rsidRPr="00EF2DAB" w:rsidRDefault="003F4C47" w:rsidP="006F534F">
      <w:pPr>
        <w:spacing w:line="360" w:lineRule="auto"/>
        <w:ind w:right="49"/>
        <w:jc w:val="both"/>
        <w:rPr>
          <w:rFonts w:ascii="Arial" w:hAnsi="Arial" w:cs="Arial"/>
          <w:b/>
          <w:sz w:val="20"/>
          <w:szCs w:val="20"/>
        </w:rPr>
      </w:pPr>
    </w:p>
    <w:p w14:paraId="1C129480" w14:textId="53AFC999" w:rsidR="00567EC2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EF2DAB">
        <w:rPr>
          <w:rFonts w:ascii="Arial" w:hAnsi="Arial" w:cs="Arial"/>
          <w:bCs/>
          <w:iCs/>
          <w:shd w:val="clear" w:color="auto" w:fill="FFFFFF" w:themeFill="background1"/>
        </w:rPr>
        <w:t>Se constató el cumplimiento de la Ley General de Contabilidad Gubernamental, Ley de Ingresos, así como de lo emitido por el Consejo Nacional de Armonización Contable (CONAC), y demás disposiciones legales y normativas aplicables.</w:t>
      </w:r>
    </w:p>
    <w:p w14:paraId="19D5D62A" w14:textId="77777777" w:rsidR="00222427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  <w:bCs/>
          <w:sz w:val="20"/>
          <w:szCs w:val="20"/>
        </w:rPr>
      </w:pPr>
    </w:p>
    <w:p w14:paraId="709275CB" w14:textId="171ECDF0" w:rsidR="00F326F4" w:rsidRPr="00EF2DAB" w:rsidRDefault="00B93E82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I</w:t>
      </w:r>
      <w:r w:rsidR="00C47B98" w:rsidRPr="00EF2DAB">
        <w:rPr>
          <w:rFonts w:ascii="Arial" w:hAnsi="Arial" w:cs="Arial"/>
          <w:b/>
        </w:rPr>
        <w:t>.3</w:t>
      </w:r>
      <w:r w:rsidR="00F326F4" w:rsidRPr="00EF2DAB">
        <w:rPr>
          <w:rFonts w:ascii="Arial" w:hAnsi="Arial" w:cs="Arial"/>
          <w:b/>
        </w:rPr>
        <w:t>.</w:t>
      </w:r>
      <w:r w:rsidR="001C3236" w:rsidRPr="00EF2DAB">
        <w:rPr>
          <w:rFonts w:ascii="Arial" w:hAnsi="Arial" w:cs="Arial"/>
          <w:b/>
        </w:rPr>
        <w:t xml:space="preserve"> </w:t>
      </w:r>
      <w:r w:rsidR="00F326F4" w:rsidRPr="00EF2DAB">
        <w:rPr>
          <w:rFonts w:ascii="Arial" w:hAnsi="Arial" w:cs="Arial"/>
          <w:b/>
        </w:rPr>
        <w:t>RESULTADOS</w:t>
      </w:r>
      <w:r w:rsidR="005F7A39" w:rsidRPr="00EF2DAB">
        <w:rPr>
          <w:rFonts w:ascii="Arial" w:hAnsi="Arial" w:cs="Arial"/>
          <w:b/>
        </w:rPr>
        <w:t xml:space="preserve"> DE LA </w:t>
      </w:r>
      <w:r w:rsidR="004D1CA5" w:rsidRPr="00EF2DAB">
        <w:rPr>
          <w:rFonts w:ascii="Arial" w:hAnsi="Arial" w:cs="Arial"/>
          <w:b/>
        </w:rPr>
        <w:t>FISCALIZACI</w:t>
      </w:r>
      <w:r w:rsidR="00FC74E3" w:rsidRPr="00EF2DAB">
        <w:rPr>
          <w:rFonts w:ascii="Arial" w:hAnsi="Arial" w:cs="Arial"/>
          <w:b/>
        </w:rPr>
        <w:t>Ó</w:t>
      </w:r>
      <w:r w:rsidR="004D1CA5" w:rsidRPr="00EF2DAB">
        <w:rPr>
          <w:rFonts w:ascii="Arial" w:hAnsi="Arial" w:cs="Arial"/>
          <w:b/>
        </w:rPr>
        <w:t>N</w:t>
      </w:r>
      <w:r w:rsidR="005F7A39" w:rsidRPr="00EF2DAB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EF2DAB" w:rsidRDefault="008443FB" w:rsidP="006F534F">
      <w:p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1332D6EF" w14:textId="30CEC5DC" w:rsidR="00E24B92" w:rsidRPr="00EF2DAB" w:rsidRDefault="00222427" w:rsidP="006F534F">
      <w:pPr>
        <w:spacing w:line="360" w:lineRule="auto"/>
        <w:ind w:right="49"/>
        <w:jc w:val="both"/>
        <w:rPr>
          <w:rFonts w:ascii="Arial" w:hAnsi="Arial" w:cs="Arial"/>
        </w:rPr>
      </w:pPr>
      <w:bookmarkStart w:id="11" w:name="_Hlk11419882"/>
      <w:bookmarkStart w:id="12" w:name="_Hlk11419841"/>
      <w:r w:rsidRPr="00EF2DAB">
        <w:rPr>
          <w:rFonts w:ascii="Arial" w:hAnsi="Arial" w:cs="Arial"/>
        </w:rPr>
        <w:t>De conformidad con los 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se present</w:t>
      </w:r>
      <w:r w:rsidR="00B03346" w:rsidRPr="00EF2DAB">
        <w:rPr>
          <w:rFonts w:ascii="Arial" w:hAnsi="Arial" w:cs="Arial"/>
        </w:rPr>
        <w:t>ó</w:t>
      </w:r>
      <w:r w:rsidRPr="00EF2DAB">
        <w:rPr>
          <w:rFonts w:ascii="Arial" w:hAnsi="Arial" w:cs="Arial"/>
        </w:rPr>
        <w:t xml:space="preserve"> </w:t>
      </w:r>
      <w:r w:rsidR="00B03346" w:rsidRPr="00EF2DAB">
        <w:rPr>
          <w:rFonts w:ascii="Arial" w:hAnsi="Arial" w:cs="Arial"/>
          <w:b/>
        </w:rPr>
        <w:t>1</w:t>
      </w:r>
      <w:r w:rsidRPr="00EF2DAB">
        <w:rPr>
          <w:rFonts w:ascii="Arial" w:hAnsi="Arial" w:cs="Arial"/>
          <w:b/>
        </w:rPr>
        <w:t xml:space="preserve"> </w:t>
      </w:r>
      <w:r w:rsidRPr="00EF2DAB">
        <w:rPr>
          <w:rFonts w:ascii="Arial" w:hAnsi="Arial" w:cs="Arial"/>
        </w:rPr>
        <w:t>resultado final de auditoría y se determin</w:t>
      </w:r>
      <w:r w:rsidR="00B03346" w:rsidRPr="00EF2DAB">
        <w:rPr>
          <w:rFonts w:ascii="Arial" w:hAnsi="Arial" w:cs="Arial"/>
        </w:rPr>
        <w:t xml:space="preserve">ó </w:t>
      </w:r>
      <w:r w:rsidR="00B03346" w:rsidRPr="00EF2DAB">
        <w:rPr>
          <w:rFonts w:ascii="Arial" w:hAnsi="Arial" w:cs="Arial"/>
          <w:b/>
        </w:rPr>
        <w:t>1</w:t>
      </w:r>
      <w:r w:rsidRPr="00EF2DAB">
        <w:rPr>
          <w:rFonts w:ascii="Arial" w:hAnsi="Arial" w:cs="Arial"/>
        </w:rPr>
        <w:t xml:space="preserve"> </w:t>
      </w:r>
      <w:r w:rsidR="00B03346" w:rsidRPr="00EF2DAB">
        <w:rPr>
          <w:rFonts w:ascii="Arial" w:hAnsi="Arial" w:cs="Arial"/>
        </w:rPr>
        <w:t>observación</w:t>
      </w:r>
      <w:r w:rsidRPr="00EF2DAB">
        <w:rPr>
          <w:rFonts w:ascii="Arial" w:hAnsi="Arial" w:cs="Arial"/>
        </w:rPr>
        <w:t>, la cual</w:t>
      </w:r>
      <w:r w:rsidR="000800A9" w:rsidRPr="00EF2DAB">
        <w:rPr>
          <w:rFonts w:ascii="Arial" w:hAnsi="Arial" w:cs="Arial"/>
        </w:rPr>
        <w:t xml:space="preserve"> s</w:t>
      </w:r>
      <w:r w:rsidRPr="00EF2DAB">
        <w:rPr>
          <w:rFonts w:ascii="Arial" w:hAnsi="Arial" w:cs="Arial"/>
        </w:rPr>
        <w:t>e encuentra pendiente</w:t>
      </w:r>
      <w:r w:rsidR="000800A9" w:rsidRPr="00EF2DAB">
        <w:rPr>
          <w:rFonts w:ascii="Arial" w:hAnsi="Arial" w:cs="Arial"/>
        </w:rPr>
        <w:t xml:space="preserve"> de solventar; emitiéndose </w:t>
      </w:r>
      <w:r w:rsidR="000800A9" w:rsidRPr="00EF2DAB">
        <w:rPr>
          <w:rFonts w:ascii="Arial" w:hAnsi="Arial" w:cs="Arial"/>
          <w:b/>
        </w:rPr>
        <w:t>1</w:t>
      </w:r>
      <w:r w:rsidR="000800A9" w:rsidRPr="00EF2DAB">
        <w:rPr>
          <w:rFonts w:ascii="Arial" w:hAnsi="Arial" w:cs="Arial"/>
        </w:rPr>
        <w:t xml:space="preserve"> Recomendación</w:t>
      </w:r>
      <w:r w:rsidRPr="00EF2DAB">
        <w:rPr>
          <w:rFonts w:ascii="Arial" w:hAnsi="Arial" w:cs="Arial"/>
        </w:rPr>
        <w:t>, como sugerencia para fortalecer los procesos administrativ</w:t>
      </w:r>
      <w:r w:rsidR="000800A9" w:rsidRPr="00EF2DAB">
        <w:rPr>
          <w:rFonts w:ascii="Arial" w:hAnsi="Arial" w:cs="Arial"/>
        </w:rPr>
        <w:t>os y los sistemas de control de la Comisión</w:t>
      </w:r>
      <w:r w:rsidRPr="00EF2DAB">
        <w:rPr>
          <w:rFonts w:ascii="Arial" w:hAnsi="Arial" w:cs="Arial"/>
        </w:rPr>
        <w:t>.</w:t>
      </w:r>
    </w:p>
    <w:p w14:paraId="5BFDA0A0" w14:textId="77777777" w:rsidR="009F6AFA" w:rsidRPr="00EF2DAB" w:rsidRDefault="009F6AFA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lastRenderedPageBreak/>
        <w:t xml:space="preserve">A. </w:t>
      </w:r>
      <w:bookmarkStart w:id="13" w:name="_Hlk11360710"/>
      <w:r w:rsidRPr="00EF2DAB">
        <w:rPr>
          <w:rFonts w:ascii="Arial" w:hAnsi="Arial" w:cs="Arial"/>
          <w:b/>
        </w:rPr>
        <w:t>Resumen de Resultados Finales de Auditoría, Observaciones Determinadas</w:t>
      </w:r>
      <w:bookmarkEnd w:id="13"/>
      <w:r w:rsidRPr="00EF2DAB">
        <w:rPr>
          <w:rFonts w:ascii="Arial" w:hAnsi="Arial" w:cs="Arial"/>
          <w:b/>
        </w:rPr>
        <w:t>, Acciones y Recomendaciones Emitidas</w:t>
      </w:r>
    </w:p>
    <w:p w14:paraId="2C07FC48" w14:textId="77777777" w:rsidR="009F6AFA" w:rsidRPr="00EF2DAB" w:rsidRDefault="009F6AFA" w:rsidP="006F534F">
      <w:pPr>
        <w:spacing w:line="360" w:lineRule="auto"/>
        <w:ind w:right="49"/>
        <w:jc w:val="both"/>
        <w:rPr>
          <w:rFonts w:ascii="Arial" w:hAnsi="Arial" w:cs="Arial"/>
          <w:b/>
          <w:sz w:val="16"/>
          <w:szCs w:val="16"/>
        </w:rPr>
      </w:pPr>
    </w:p>
    <w:p w14:paraId="49662E0C" w14:textId="26FD9C55" w:rsidR="009F6AFA" w:rsidRPr="00EF2DAB" w:rsidRDefault="009F6AFA" w:rsidP="006F534F">
      <w:pPr>
        <w:spacing w:line="360" w:lineRule="auto"/>
        <w:ind w:right="49"/>
        <w:jc w:val="both"/>
        <w:rPr>
          <w:rFonts w:ascii="Arial" w:hAnsi="Arial" w:cs="Arial"/>
        </w:rPr>
      </w:pPr>
      <w:bookmarkStart w:id="14" w:name="_Hlk11361172"/>
      <w:r w:rsidRPr="00EF2DAB">
        <w:rPr>
          <w:rFonts w:ascii="Arial" w:hAnsi="Arial" w:cs="Arial"/>
        </w:rPr>
        <w:t xml:space="preserve">En cumplimiento al artículo 38 fracción V de la Ley de Fiscalización y Rendición de Cuentas del Estado de Quintana Roo, y derivado del proceso de fiscalización al ente auditado se determinaron resultados finales de auditoría y observaciones en materia financiera, que derivaron en la emisión </w:t>
      </w:r>
      <w:r w:rsidR="000800A9" w:rsidRPr="00EF2DAB">
        <w:rPr>
          <w:rFonts w:ascii="Arial" w:hAnsi="Arial" w:cs="Arial"/>
        </w:rPr>
        <w:t xml:space="preserve">de </w:t>
      </w:r>
      <w:r w:rsidRPr="00EF2DAB">
        <w:rPr>
          <w:rFonts w:ascii="Arial" w:hAnsi="Arial" w:cs="Arial"/>
        </w:rPr>
        <w:t>recomendaciones, mismas que se presentan en la tabla siguiente:</w:t>
      </w:r>
    </w:p>
    <w:p w14:paraId="70015EAB" w14:textId="77777777" w:rsidR="009F6AFA" w:rsidRPr="00EF2DAB" w:rsidRDefault="009F6AFA" w:rsidP="009F6AFA">
      <w:pPr>
        <w:spacing w:line="360" w:lineRule="auto"/>
        <w:ind w:right="49"/>
        <w:jc w:val="both"/>
        <w:rPr>
          <w:rFonts w:ascii="Arial" w:hAnsi="Arial" w:cs="Arial"/>
          <w:sz w:val="16"/>
          <w:szCs w:val="16"/>
        </w:rPr>
      </w:pPr>
    </w:p>
    <w:tbl>
      <w:tblPr>
        <w:tblW w:w="500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3353"/>
        <w:gridCol w:w="2706"/>
        <w:gridCol w:w="1995"/>
      </w:tblGrid>
      <w:tr w:rsidR="009F6AFA" w:rsidRPr="00EF2DAB" w14:paraId="28F765E6" w14:textId="77777777" w:rsidTr="00B03A8E">
        <w:trPr>
          <w:tblHeader/>
          <w:jc w:val="center"/>
        </w:trPr>
        <w:tc>
          <w:tcPr>
            <w:tcW w:w="842" w:type="pct"/>
            <w:shd w:val="clear" w:color="auto" w:fill="D0CECE" w:themeFill="background2" w:themeFillShade="E6"/>
            <w:vAlign w:val="center"/>
          </w:tcPr>
          <w:bookmarkEnd w:id="14"/>
          <w:p w14:paraId="7F99BDEE" w14:textId="77777777" w:rsidR="009F6AFA" w:rsidRPr="00EF2DAB" w:rsidRDefault="009F6AFA" w:rsidP="00EF2DAB">
            <w:pPr>
              <w:spacing w:line="276" w:lineRule="auto"/>
              <w:ind w:right="49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Referencia</w:t>
            </w:r>
          </w:p>
        </w:tc>
        <w:tc>
          <w:tcPr>
            <w:tcW w:w="1731" w:type="pct"/>
            <w:shd w:val="clear" w:color="auto" w:fill="D0CECE" w:themeFill="background2" w:themeFillShade="E6"/>
            <w:vAlign w:val="center"/>
          </w:tcPr>
          <w:p w14:paraId="48183E62" w14:textId="77777777" w:rsidR="009F6AFA" w:rsidRPr="00EF2DAB" w:rsidRDefault="009F6AFA" w:rsidP="00EF2DAB">
            <w:pPr>
              <w:spacing w:line="276" w:lineRule="auto"/>
              <w:ind w:right="49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Concepto del Resultado</w:t>
            </w:r>
          </w:p>
        </w:tc>
        <w:tc>
          <w:tcPr>
            <w:tcW w:w="1397" w:type="pct"/>
            <w:shd w:val="clear" w:color="auto" w:fill="D0CECE" w:themeFill="background2" w:themeFillShade="E6"/>
            <w:vAlign w:val="center"/>
          </w:tcPr>
          <w:p w14:paraId="651E173B" w14:textId="77777777" w:rsidR="009F6AFA" w:rsidRPr="00EF2DAB" w:rsidRDefault="009F6AFA" w:rsidP="00EF2DAB">
            <w:pPr>
              <w:spacing w:line="276" w:lineRule="auto"/>
              <w:ind w:right="49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Tipo de Observación</w:t>
            </w:r>
          </w:p>
        </w:tc>
        <w:tc>
          <w:tcPr>
            <w:tcW w:w="1030" w:type="pct"/>
            <w:shd w:val="clear" w:color="auto" w:fill="D0CECE" w:themeFill="background2" w:themeFillShade="E6"/>
            <w:vAlign w:val="center"/>
          </w:tcPr>
          <w:p w14:paraId="4E6E2646" w14:textId="77777777" w:rsidR="009F6AFA" w:rsidRPr="00EF2DAB" w:rsidRDefault="009F6AFA" w:rsidP="00EF2DAB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bCs/>
                <w:sz w:val="19"/>
                <w:szCs w:val="19"/>
              </w:rPr>
              <w:t>Monto Observado/</w:t>
            </w:r>
          </w:p>
          <w:p w14:paraId="72BF1E39" w14:textId="77777777" w:rsidR="009F6AFA" w:rsidRPr="00EF2DAB" w:rsidRDefault="009F6AFA" w:rsidP="00EF2DAB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bCs/>
                <w:sz w:val="19"/>
                <w:szCs w:val="19"/>
              </w:rPr>
              <w:t>Acciones y Recomendaciones Emitidas</w:t>
            </w:r>
          </w:p>
        </w:tc>
      </w:tr>
      <w:tr w:rsidR="009F6AFA" w:rsidRPr="00EF2DAB" w14:paraId="5FDD084B" w14:textId="77777777" w:rsidTr="00B03A8E">
        <w:trPr>
          <w:jc w:val="center"/>
        </w:trPr>
        <w:tc>
          <w:tcPr>
            <w:tcW w:w="842" w:type="pct"/>
          </w:tcPr>
          <w:p w14:paraId="360CDF54" w14:textId="77777777" w:rsidR="009F6AFA" w:rsidRPr="00EF2DAB" w:rsidRDefault="009F6AFA" w:rsidP="00EF2DAB">
            <w:pPr>
              <w:spacing w:line="276" w:lineRule="auto"/>
              <w:ind w:right="49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Resultado: 1</w:t>
            </w:r>
          </w:p>
          <w:p w14:paraId="26E06AE4" w14:textId="77777777" w:rsidR="009F6AFA" w:rsidRPr="00EF2DAB" w:rsidRDefault="009F6AFA" w:rsidP="00EF2DAB">
            <w:pPr>
              <w:spacing w:line="276" w:lineRule="auto"/>
              <w:ind w:right="4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Observación: 1</w:t>
            </w:r>
          </w:p>
        </w:tc>
        <w:tc>
          <w:tcPr>
            <w:tcW w:w="1731" w:type="pct"/>
          </w:tcPr>
          <w:p w14:paraId="0A716A59" w14:textId="4F142636" w:rsidR="009F6AFA" w:rsidRPr="00EF2DAB" w:rsidRDefault="00206EC8" w:rsidP="00EF2DAB">
            <w:pPr>
              <w:spacing w:line="276" w:lineRule="auto"/>
              <w:ind w:right="4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Análisis de antigüedad de saldos de Transferencias Internas y Asignaciones al Sector Público</w:t>
            </w:r>
          </w:p>
        </w:tc>
        <w:tc>
          <w:tcPr>
            <w:tcW w:w="1397" w:type="pct"/>
          </w:tcPr>
          <w:p w14:paraId="3C0990AE" w14:textId="47E16E04" w:rsidR="009F6AFA" w:rsidRPr="00EF2DAB" w:rsidRDefault="00206EC8" w:rsidP="00EF2DAB">
            <w:pPr>
              <w:spacing w:line="276" w:lineRule="auto"/>
              <w:ind w:right="49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  <w:lang w:eastAsia="es-MX"/>
              </w:rPr>
              <w:t>(3H) Falta de recuperación de carteras o ministraciones</w:t>
            </w:r>
          </w:p>
        </w:tc>
        <w:tc>
          <w:tcPr>
            <w:tcW w:w="1030" w:type="pct"/>
          </w:tcPr>
          <w:p w14:paraId="2E53E9B8" w14:textId="77777777" w:rsidR="009F6AFA" w:rsidRPr="00EF2DAB" w:rsidRDefault="000800A9" w:rsidP="00EF2DAB">
            <w:pPr>
              <w:spacing w:line="276" w:lineRule="auto"/>
              <w:ind w:right="4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No s</w:t>
            </w:r>
            <w:r w:rsidR="009F6AFA" w:rsidRPr="00EF2DAB">
              <w:rPr>
                <w:rFonts w:ascii="Arial" w:hAnsi="Arial" w:cs="Arial"/>
                <w:sz w:val="19"/>
                <w:szCs w:val="19"/>
              </w:rPr>
              <w:t>olventado</w:t>
            </w:r>
          </w:p>
          <w:p w14:paraId="56002D77" w14:textId="771C6452" w:rsidR="000800A9" w:rsidRPr="00EF2DAB" w:rsidRDefault="000800A9" w:rsidP="00EF2DAB">
            <w:pPr>
              <w:spacing w:line="276" w:lineRule="auto"/>
              <w:ind w:right="49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Recomendación</w:t>
            </w:r>
          </w:p>
        </w:tc>
      </w:tr>
      <w:bookmarkEnd w:id="11"/>
    </w:tbl>
    <w:p w14:paraId="548E4291" w14:textId="6518925B" w:rsidR="00B14916" w:rsidRDefault="00B14916" w:rsidP="00F6663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AB3A816" w14:textId="77777777" w:rsidR="00474CEC" w:rsidRDefault="00474CEC" w:rsidP="00F6663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7F37E9" w14:textId="0FCA077F" w:rsidR="00A623C4" w:rsidRPr="00EF2DAB" w:rsidRDefault="00A623C4" w:rsidP="00F66630">
      <w:pPr>
        <w:spacing w:line="360" w:lineRule="auto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 xml:space="preserve">II. INFORME INDIVIDUAL DE AUDITORÍA RELATIVO A </w:t>
      </w:r>
      <w:r w:rsidR="009F6AFA" w:rsidRPr="00EF2DAB">
        <w:rPr>
          <w:rFonts w:ascii="Arial" w:hAnsi="Arial" w:cs="Arial"/>
          <w:b/>
          <w:bCs/>
        </w:rPr>
        <w:t>GASTOS PÚBLICOS</w:t>
      </w:r>
    </w:p>
    <w:p w14:paraId="6990B897" w14:textId="77777777" w:rsidR="00A623C4" w:rsidRPr="00EF2DAB" w:rsidRDefault="00A623C4" w:rsidP="00F6663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06559D" w14:textId="1241ED19" w:rsidR="00A623C4" w:rsidRPr="00EF2DAB" w:rsidRDefault="00A623C4" w:rsidP="00F66630">
      <w:pPr>
        <w:spacing w:line="360" w:lineRule="auto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II.1. ASPECTOS GENERALES DE LA AUDITORÍA</w:t>
      </w:r>
    </w:p>
    <w:p w14:paraId="0631A317" w14:textId="77777777" w:rsidR="00711CF6" w:rsidRPr="00EF2DAB" w:rsidRDefault="00711CF6" w:rsidP="00F6663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F610671" w14:textId="77777777" w:rsidR="00A623C4" w:rsidRPr="00EF2DAB" w:rsidRDefault="00A623C4" w:rsidP="00F66630">
      <w:pPr>
        <w:spacing w:line="360" w:lineRule="auto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A. Título de la Auditoría</w:t>
      </w:r>
    </w:p>
    <w:p w14:paraId="784100DA" w14:textId="77777777" w:rsidR="00A623C4" w:rsidRPr="00EF2DAB" w:rsidRDefault="00A623C4" w:rsidP="00F6663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0CAA94C" w14:textId="3A0DC783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  <w:bCs/>
        </w:rPr>
        <w:t>La auditoría, visita e inspección que se realizó en materia financiera a</w:t>
      </w:r>
      <w:r w:rsidR="00096CBB" w:rsidRPr="00EF2DAB">
        <w:rPr>
          <w:rFonts w:ascii="Arial" w:hAnsi="Arial" w:cs="Arial"/>
          <w:bCs/>
        </w:rPr>
        <w:t xml:space="preserve"> </w:t>
      </w:r>
      <w:r w:rsidRPr="00EF2DAB">
        <w:rPr>
          <w:rFonts w:ascii="Arial" w:hAnsi="Arial" w:cs="Arial"/>
          <w:bCs/>
        </w:rPr>
        <w:t>l</w:t>
      </w:r>
      <w:r w:rsidR="00096CBB" w:rsidRPr="00EF2DAB">
        <w:rPr>
          <w:rFonts w:ascii="Arial" w:hAnsi="Arial" w:cs="Arial"/>
          <w:bCs/>
        </w:rPr>
        <w:t>a</w:t>
      </w:r>
      <w:r w:rsidRPr="00EF2DAB">
        <w:rPr>
          <w:rFonts w:ascii="Arial" w:hAnsi="Arial" w:cs="Arial"/>
          <w:bCs/>
        </w:rPr>
        <w:t xml:space="preserve"> </w:t>
      </w:r>
      <w:r w:rsidR="007E2962" w:rsidRPr="00EF2DAB">
        <w:rPr>
          <w:rFonts w:ascii="Arial" w:hAnsi="Arial" w:cs="Arial"/>
          <w:b/>
        </w:rPr>
        <w:t>Comisión para la Juventud y el Deporte 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</w:rPr>
        <w:t>, de manera especial y enunciativa mas no limitativa, fue la siguiente:</w:t>
      </w:r>
    </w:p>
    <w:p w14:paraId="29CDBD6D" w14:textId="77777777" w:rsidR="00A623C4" w:rsidRPr="00EF2DAB" w:rsidRDefault="00A623C4" w:rsidP="00F66630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6127"/>
      </w:tblGrid>
      <w:tr w:rsidR="00A623C4" w:rsidRPr="00EF2DAB" w14:paraId="22ED60B4" w14:textId="77777777" w:rsidTr="00C142A1">
        <w:trPr>
          <w:trHeight w:val="678"/>
          <w:tblHeader/>
          <w:jc w:val="center"/>
        </w:trPr>
        <w:tc>
          <w:tcPr>
            <w:tcW w:w="1838" w:type="pct"/>
            <w:shd w:val="clear" w:color="auto" w:fill="auto"/>
          </w:tcPr>
          <w:p w14:paraId="54E8B8F7" w14:textId="44497841" w:rsidR="00A623C4" w:rsidRPr="00EF2DAB" w:rsidRDefault="00A623C4" w:rsidP="009F6AFA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2</w:t>
            </w:r>
            <w:r w:rsidR="009F6AFA" w:rsidRPr="00EF2DAB">
              <w:rPr>
                <w:rFonts w:ascii="Arial" w:hAnsi="Arial" w:cs="Arial"/>
                <w:b/>
                <w:bCs/>
              </w:rPr>
              <w:t>2</w:t>
            </w:r>
            <w:r w:rsidRPr="00EF2DAB">
              <w:rPr>
                <w:rFonts w:ascii="Arial" w:hAnsi="Arial" w:cs="Arial"/>
                <w:b/>
                <w:bCs/>
              </w:rPr>
              <w:t>-AEMF-E-GOB-</w:t>
            </w:r>
            <w:r w:rsidR="00096CBB" w:rsidRPr="00EF2DAB">
              <w:rPr>
                <w:rFonts w:ascii="Arial" w:hAnsi="Arial" w:cs="Arial"/>
                <w:b/>
                <w:bCs/>
              </w:rPr>
              <w:t>02</w:t>
            </w:r>
            <w:r w:rsidR="00711CF6" w:rsidRPr="00EF2DAB">
              <w:rPr>
                <w:rFonts w:ascii="Arial" w:hAnsi="Arial" w:cs="Arial"/>
                <w:b/>
                <w:bCs/>
              </w:rPr>
              <w:t>9</w:t>
            </w:r>
            <w:r w:rsidR="00096CBB" w:rsidRPr="00EF2DAB">
              <w:rPr>
                <w:rFonts w:ascii="Arial" w:hAnsi="Arial" w:cs="Arial"/>
                <w:b/>
                <w:bCs/>
              </w:rPr>
              <w:t>-0</w:t>
            </w:r>
            <w:r w:rsidR="009F6AFA" w:rsidRPr="00EF2DAB">
              <w:rPr>
                <w:rFonts w:ascii="Arial" w:hAnsi="Arial" w:cs="Arial"/>
                <w:b/>
                <w:bCs/>
              </w:rPr>
              <w:t>62</w:t>
            </w:r>
          </w:p>
        </w:tc>
        <w:tc>
          <w:tcPr>
            <w:tcW w:w="3162" w:type="pct"/>
            <w:shd w:val="clear" w:color="auto" w:fill="auto"/>
          </w:tcPr>
          <w:p w14:paraId="287B72BC" w14:textId="3862F56D" w:rsidR="00A623C4" w:rsidRPr="00EF2DAB" w:rsidRDefault="00A623C4" w:rsidP="009F6AFA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 xml:space="preserve">“Auditoría de Cumplimiento Financiero de </w:t>
            </w:r>
            <w:r w:rsidR="00DD5FFA" w:rsidRPr="00EF2DAB">
              <w:rPr>
                <w:rFonts w:ascii="Arial" w:hAnsi="Arial" w:cs="Arial"/>
                <w:bCs/>
              </w:rPr>
              <w:t xml:space="preserve">Gastos </w:t>
            </w:r>
            <w:r w:rsidR="009F6AFA" w:rsidRPr="00EF2DAB">
              <w:rPr>
                <w:rFonts w:ascii="Arial" w:hAnsi="Arial" w:cs="Arial"/>
                <w:bCs/>
              </w:rPr>
              <w:t>Públicos</w:t>
            </w:r>
            <w:r w:rsidRPr="00EF2DAB">
              <w:rPr>
                <w:rFonts w:ascii="Arial" w:hAnsi="Arial" w:cs="Arial"/>
                <w:bCs/>
              </w:rPr>
              <w:t>”</w:t>
            </w:r>
          </w:p>
        </w:tc>
      </w:tr>
    </w:tbl>
    <w:p w14:paraId="07A39B08" w14:textId="7E40A788" w:rsidR="00A623C4" w:rsidRPr="00EF2DAB" w:rsidRDefault="00A623C4" w:rsidP="00A623C4">
      <w:pPr>
        <w:spacing w:line="360" w:lineRule="auto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lastRenderedPageBreak/>
        <w:t>B. Objetivo</w:t>
      </w:r>
    </w:p>
    <w:p w14:paraId="2A7F39E1" w14:textId="77777777" w:rsidR="00A623C4" w:rsidRPr="00EF2DAB" w:rsidRDefault="00A623C4" w:rsidP="00A623C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2011C46" w14:textId="7255D5DE" w:rsidR="00DD5FFA" w:rsidRPr="00EF2DAB" w:rsidRDefault="009F6AFA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Fiscalizar la gestión financiera para comprobar el cumplimiento de lo dispuesto en el Presupuesto de Egresos, y demás disposiciones legales aplicables, en cuanto a los gastos públicos, incluyendo la revisión del manejo, la custodia y la aplicación de recursos públicos estatales, así como de la información financiera, contable, patrimonial, presupuestaria y programática, conforme a las disposiciones aplicables.</w:t>
      </w:r>
    </w:p>
    <w:p w14:paraId="61FA99A3" w14:textId="77777777" w:rsidR="009F6AFA" w:rsidRPr="00EF2DAB" w:rsidRDefault="009F6AFA" w:rsidP="00A623C4">
      <w:pPr>
        <w:spacing w:line="360" w:lineRule="auto"/>
        <w:jc w:val="both"/>
        <w:rPr>
          <w:rFonts w:ascii="Arial" w:hAnsi="Arial" w:cs="Arial"/>
          <w:bCs/>
        </w:rPr>
      </w:pPr>
    </w:p>
    <w:p w14:paraId="6A06A2C1" w14:textId="77777777" w:rsidR="00A623C4" w:rsidRPr="00EF2DAB" w:rsidRDefault="00A623C4" w:rsidP="00A623C4">
      <w:pPr>
        <w:spacing w:line="360" w:lineRule="auto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C. Alcance</w:t>
      </w:r>
    </w:p>
    <w:p w14:paraId="1B9EABB8" w14:textId="77777777" w:rsidR="00A623C4" w:rsidRPr="00EF2DAB" w:rsidRDefault="00A623C4" w:rsidP="00A623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B23849" w14:textId="2075FAF1" w:rsidR="00A623C4" w:rsidRPr="00EF2DAB" w:rsidRDefault="00A623C4" w:rsidP="004E0E4E">
      <w:pPr>
        <w:spacing w:line="360" w:lineRule="auto"/>
        <w:jc w:val="both"/>
        <w:rPr>
          <w:rFonts w:ascii="Arial" w:hAnsi="Arial" w:cs="Arial"/>
        </w:rPr>
      </w:pPr>
      <w:r w:rsidRPr="00EF2DAB">
        <w:rPr>
          <w:rFonts w:ascii="Arial" w:hAnsi="Arial" w:cs="Arial"/>
          <w:b/>
        </w:rPr>
        <w:t xml:space="preserve">Universo: </w:t>
      </w:r>
      <w:r w:rsidRPr="00EF2DAB">
        <w:rPr>
          <w:rFonts w:ascii="Arial" w:hAnsi="Arial" w:cs="Arial"/>
        </w:rPr>
        <w:t>$</w:t>
      </w:r>
      <w:r w:rsidR="00D76738" w:rsidRPr="00EF2DAB">
        <w:rPr>
          <w:rFonts w:ascii="Arial" w:hAnsi="Arial" w:cs="Arial"/>
        </w:rPr>
        <w:t>251,359,711.18</w:t>
      </w:r>
    </w:p>
    <w:p w14:paraId="713C7206" w14:textId="77777777" w:rsidR="004E0E4E" w:rsidRPr="00EF2DAB" w:rsidRDefault="004E0E4E" w:rsidP="004E0E4E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9262B34" w14:textId="0289948C" w:rsidR="00A623C4" w:rsidRPr="00EF2DAB" w:rsidRDefault="00A623C4" w:rsidP="00A623C4">
      <w:pPr>
        <w:spacing w:line="360" w:lineRule="auto"/>
        <w:rPr>
          <w:rFonts w:ascii="Arial" w:hAnsi="Arial" w:cs="Arial"/>
        </w:rPr>
      </w:pPr>
      <w:r w:rsidRPr="00EF2DAB">
        <w:rPr>
          <w:rFonts w:ascii="Arial" w:hAnsi="Arial" w:cs="Arial"/>
          <w:b/>
        </w:rPr>
        <w:t xml:space="preserve">Población Objetivo: </w:t>
      </w:r>
      <w:r w:rsidRPr="00EF2DAB">
        <w:rPr>
          <w:rFonts w:ascii="Arial" w:hAnsi="Arial" w:cs="Arial"/>
        </w:rPr>
        <w:t>$</w:t>
      </w:r>
      <w:r w:rsidR="00D76738" w:rsidRPr="00EF2DAB">
        <w:rPr>
          <w:rFonts w:ascii="Arial" w:hAnsi="Arial" w:cs="Arial"/>
        </w:rPr>
        <w:t>236,754,711.18</w:t>
      </w:r>
    </w:p>
    <w:p w14:paraId="685425D5" w14:textId="77777777" w:rsidR="00A623C4" w:rsidRPr="00EF2DAB" w:rsidRDefault="00A623C4" w:rsidP="00A623C4">
      <w:pPr>
        <w:spacing w:line="360" w:lineRule="auto"/>
        <w:rPr>
          <w:rFonts w:ascii="Arial" w:hAnsi="Arial" w:cs="Arial"/>
          <w:sz w:val="18"/>
          <w:szCs w:val="18"/>
        </w:rPr>
      </w:pPr>
    </w:p>
    <w:p w14:paraId="7F3C4234" w14:textId="11D878EB" w:rsidR="00A623C4" w:rsidRDefault="00A623C4" w:rsidP="00A623C4">
      <w:pPr>
        <w:spacing w:line="360" w:lineRule="auto"/>
        <w:rPr>
          <w:rFonts w:ascii="Arial" w:hAnsi="Arial" w:cs="Arial"/>
        </w:rPr>
      </w:pPr>
      <w:r w:rsidRPr="00EF2DAB">
        <w:rPr>
          <w:rFonts w:ascii="Arial" w:hAnsi="Arial" w:cs="Arial"/>
          <w:b/>
        </w:rPr>
        <w:t>Muestra Auditada:</w:t>
      </w:r>
      <w:r w:rsidR="004E0E4E" w:rsidRPr="00EF2DAB">
        <w:rPr>
          <w:rFonts w:ascii="Arial" w:hAnsi="Arial" w:cs="Arial"/>
        </w:rPr>
        <w:t xml:space="preserve"> </w:t>
      </w:r>
      <w:r w:rsidR="006219E1" w:rsidRPr="00EF2DAB">
        <w:rPr>
          <w:rFonts w:ascii="Arial" w:hAnsi="Arial" w:cs="Arial"/>
        </w:rPr>
        <w:t>$</w:t>
      </w:r>
      <w:r w:rsidR="00D76738" w:rsidRPr="00EF2DAB">
        <w:rPr>
          <w:rFonts w:ascii="Arial" w:hAnsi="Arial" w:cs="Arial"/>
        </w:rPr>
        <w:t>171,793,705.04</w:t>
      </w:r>
    </w:p>
    <w:p w14:paraId="38A3797B" w14:textId="77777777" w:rsidR="00B14916" w:rsidRPr="00EF2DAB" w:rsidRDefault="00B14916" w:rsidP="00A623C4">
      <w:pPr>
        <w:spacing w:line="360" w:lineRule="auto"/>
        <w:rPr>
          <w:rFonts w:ascii="Arial" w:hAnsi="Arial" w:cs="Arial"/>
        </w:rPr>
      </w:pPr>
    </w:p>
    <w:p w14:paraId="27ECA580" w14:textId="2182B677" w:rsidR="00A623C4" w:rsidRPr="00EF2DAB" w:rsidRDefault="00A623C4" w:rsidP="00A623C4">
      <w:pPr>
        <w:spacing w:line="360" w:lineRule="auto"/>
        <w:rPr>
          <w:rFonts w:ascii="Arial" w:hAnsi="Arial" w:cs="Arial"/>
        </w:rPr>
      </w:pPr>
      <w:r w:rsidRPr="00EF2DAB">
        <w:rPr>
          <w:rFonts w:ascii="Arial" w:hAnsi="Arial" w:cs="Arial"/>
          <w:b/>
        </w:rPr>
        <w:t>Representatividad de la Muestra:</w:t>
      </w:r>
      <w:r w:rsidR="004E0E4E" w:rsidRPr="00EF2DAB">
        <w:rPr>
          <w:rFonts w:ascii="Arial" w:hAnsi="Arial" w:cs="Arial"/>
        </w:rPr>
        <w:t xml:space="preserve"> </w:t>
      </w:r>
      <w:r w:rsidR="00D76738" w:rsidRPr="00EF2DAB">
        <w:rPr>
          <w:rFonts w:ascii="Arial" w:hAnsi="Arial" w:cs="Arial"/>
        </w:rPr>
        <w:t>72.56</w:t>
      </w:r>
      <w:r w:rsidR="00771D0C" w:rsidRPr="00EF2DAB">
        <w:rPr>
          <w:rFonts w:ascii="Arial" w:hAnsi="Arial" w:cs="Arial"/>
        </w:rPr>
        <w:t>%</w:t>
      </w:r>
    </w:p>
    <w:p w14:paraId="3C95EAE1" w14:textId="6759812F" w:rsidR="00A623C4" w:rsidRPr="00EF2DAB" w:rsidRDefault="00A623C4" w:rsidP="00A623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BCAAA2" w14:textId="16F08E40" w:rsidR="004E0E4E" w:rsidRPr="00EF2DAB" w:rsidRDefault="004E0E4E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 xml:space="preserve">En el total del Universo están considerados los recursos federales por la cantidad de </w:t>
      </w:r>
      <w:r w:rsidR="00D76738" w:rsidRPr="00EF2DAB">
        <w:rPr>
          <w:rFonts w:ascii="Arial" w:hAnsi="Arial" w:cs="Arial"/>
        </w:rPr>
        <w:t>$110,000.00</w:t>
      </w:r>
      <w:r w:rsidR="000D3692" w:rsidRPr="00EF2DAB">
        <w:rPr>
          <w:rFonts w:ascii="Arial" w:hAnsi="Arial" w:cs="Arial"/>
        </w:rPr>
        <w:t xml:space="preserve"> (Son: c</w:t>
      </w:r>
      <w:r w:rsidR="00D76738" w:rsidRPr="00EF2DAB">
        <w:rPr>
          <w:rFonts w:ascii="Arial" w:hAnsi="Arial" w:cs="Arial"/>
        </w:rPr>
        <w:t>iento diez mil</w:t>
      </w:r>
      <w:r w:rsidR="000D3692" w:rsidRPr="00EF2DAB">
        <w:rPr>
          <w:rFonts w:ascii="Arial" w:hAnsi="Arial" w:cs="Arial"/>
        </w:rPr>
        <w:t xml:space="preserve"> peso</w:t>
      </w:r>
      <w:r w:rsidR="00D76738" w:rsidRPr="00EF2DAB">
        <w:rPr>
          <w:rFonts w:ascii="Arial" w:hAnsi="Arial" w:cs="Arial"/>
        </w:rPr>
        <w:t>s 00</w:t>
      </w:r>
      <w:r w:rsidR="000D3692" w:rsidRPr="00EF2DAB">
        <w:rPr>
          <w:rFonts w:ascii="Arial" w:hAnsi="Arial" w:cs="Arial"/>
        </w:rPr>
        <w:t>/100 M.N.)</w:t>
      </w:r>
      <w:r w:rsidRPr="00EF2DAB">
        <w:rPr>
          <w:rFonts w:ascii="Arial" w:hAnsi="Arial" w:cs="Arial"/>
        </w:rPr>
        <w:t xml:space="preserve">, los cuales no se contemplaron en </w:t>
      </w:r>
      <w:r w:rsidR="00B07684" w:rsidRPr="00EF2DAB">
        <w:rPr>
          <w:rFonts w:ascii="Arial" w:hAnsi="Arial" w:cs="Arial"/>
        </w:rPr>
        <w:t>la</w:t>
      </w:r>
      <w:r w:rsidRPr="00EF2DAB">
        <w:rPr>
          <w:rFonts w:ascii="Arial" w:hAnsi="Arial" w:cs="Arial"/>
        </w:rPr>
        <w:t xml:space="preserve"> muestra auditada, quedando integrada la población objetivo únicamente por recursos estatales y propios.</w:t>
      </w:r>
    </w:p>
    <w:p w14:paraId="5AA7167F" w14:textId="605CD854" w:rsidR="00C43018" w:rsidRPr="00EF2DAB" w:rsidRDefault="00C43018" w:rsidP="006F534F">
      <w:pPr>
        <w:spacing w:line="360" w:lineRule="auto"/>
        <w:ind w:right="49"/>
        <w:jc w:val="both"/>
        <w:rPr>
          <w:rFonts w:ascii="Arial" w:hAnsi="Arial" w:cs="Arial"/>
          <w:sz w:val="18"/>
          <w:szCs w:val="18"/>
        </w:rPr>
      </w:pPr>
    </w:p>
    <w:p w14:paraId="06ED93FB" w14:textId="7F7E376F" w:rsidR="00BB421E" w:rsidRPr="00EF2DAB" w:rsidRDefault="00BB421E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De los recursos estatales la Comisión para la Juventud y el Deporte de Quintana Roo</w:t>
      </w:r>
      <w:r w:rsidR="000408F6" w:rsidRPr="00EF2DAB">
        <w:rPr>
          <w:rFonts w:ascii="Arial" w:hAnsi="Arial" w:cs="Arial"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</w:rPr>
        <w:t xml:space="preserve"> devengó recursos para el capítulo 6000 Inversión Pública la cantidad de $14,495,000.00 (Son: catorce millones cuatrocientos noventa y cinco mil pesos 00/100 M.N.), mismos que no fueron considerados en la Población Objetivo y Muestra Auditada.</w:t>
      </w:r>
    </w:p>
    <w:p w14:paraId="2B0635FB" w14:textId="77777777" w:rsidR="00BB421E" w:rsidRPr="00EF2DAB" w:rsidRDefault="00BB421E" w:rsidP="006F534F">
      <w:pPr>
        <w:spacing w:line="360" w:lineRule="auto"/>
        <w:ind w:right="49"/>
        <w:jc w:val="both"/>
        <w:rPr>
          <w:rFonts w:ascii="Arial" w:hAnsi="Arial" w:cs="Arial"/>
          <w:sz w:val="18"/>
          <w:szCs w:val="18"/>
        </w:rPr>
      </w:pPr>
    </w:p>
    <w:p w14:paraId="049D3403" w14:textId="7114A41F" w:rsidR="00A623C4" w:rsidRPr="00EF2DAB" w:rsidRDefault="00DD5FFA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lastRenderedPageBreak/>
        <w:t xml:space="preserve">La población objetivo se determinó sobre la base de los gastos </w:t>
      </w:r>
      <w:r w:rsidR="00206EC8" w:rsidRPr="00EF2DAB">
        <w:rPr>
          <w:rFonts w:ascii="Arial" w:hAnsi="Arial" w:cs="Arial"/>
        </w:rPr>
        <w:t xml:space="preserve">devengados </w:t>
      </w:r>
      <w:r w:rsidRPr="00EF2DAB">
        <w:rPr>
          <w:rFonts w:ascii="Arial" w:hAnsi="Arial" w:cs="Arial"/>
        </w:rPr>
        <w:t xml:space="preserve">que forman parte del Estado Analítico del Ejercicio del Presupuesto de Egresos </w:t>
      </w:r>
      <w:r w:rsidR="00C37039" w:rsidRPr="00EF2DAB">
        <w:rPr>
          <w:rFonts w:ascii="Arial" w:hAnsi="Arial" w:cs="Arial"/>
        </w:rPr>
        <w:t xml:space="preserve">por Objeto del Gasto </w:t>
      </w:r>
      <w:r w:rsidRPr="00EF2DAB">
        <w:rPr>
          <w:rFonts w:ascii="Arial" w:hAnsi="Arial" w:cs="Arial"/>
        </w:rPr>
        <w:t>por el período comprendido del 01 de enero al 31 de diciembre de 202</w:t>
      </w:r>
      <w:r w:rsidR="00D76738" w:rsidRPr="00EF2DAB">
        <w:rPr>
          <w:rFonts w:ascii="Arial" w:hAnsi="Arial" w:cs="Arial"/>
        </w:rPr>
        <w:t>2</w:t>
      </w:r>
      <w:r w:rsidR="00B14916">
        <w:rPr>
          <w:rFonts w:ascii="Arial" w:hAnsi="Arial" w:cs="Arial"/>
        </w:rPr>
        <w:t>.</w:t>
      </w:r>
    </w:p>
    <w:p w14:paraId="11FA108C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4BAED81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EF2DAB">
        <w:rPr>
          <w:rFonts w:ascii="Arial" w:hAnsi="Arial" w:cs="Arial"/>
          <w:b/>
          <w:bCs/>
        </w:rPr>
        <w:t>D. Criterios de Selección</w:t>
      </w:r>
    </w:p>
    <w:p w14:paraId="12362F21" w14:textId="77777777" w:rsidR="00A623C4" w:rsidRPr="00EF2DAB" w:rsidRDefault="00A623C4" w:rsidP="006F534F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  <w:sz w:val="16"/>
          <w:szCs w:val="16"/>
        </w:rPr>
      </w:pPr>
    </w:p>
    <w:p w14:paraId="43BAC07B" w14:textId="6ED821BB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="00206EC8" w:rsidRPr="00EF2DAB">
        <w:rPr>
          <w:rFonts w:ascii="Arial" w:hAnsi="Arial" w:cs="Arial"/>
          <w:bCs/>
        </w:rPr>
        <w:t>gastos devengados</w:t>
      </w:r>
      <w:r w:rsidR="00E419DD" w:rsidRPr="00EF2DAB">
        <w:rPr>
          <w:rFonts w:ascii="Arial" w:hAnsi="Arial" w:cs="Arial"/>
          <w:bCs/>
        </w:rPr>
        <w:t>,</w:t>
      </w:r>
      <w:r w:rsidRPr="00EF2DAB">
        <w:rPr>
          <w:rFonts w:ascii="Arial" w:hAnsi="Arial" w:cs="Arial"/>
          <w:bCs/>
        </w:rPr>
        <w:t xml:space="preserve"> hayan cumplido con los aspectos y criterios apegados a las Normas Profesionales de Auditoría del Sistema Nacional de Fiscalización (NPASNF),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6DDE32E" w14:textId="77777777" w:rsidR="00711CF6" w:rsidRPr="00EF2DAB" w:rsidRDefault="00711CF6" w:rsidP="006F534F">
      <w:pPr>
        <w:spacing w:line="360" w:lineRule="auto"/>
        <w:ind w:right="49"/>
        <w:jc w:val="both"/>
        <w:rPr>
          <w:rFonts w:ascii="Arial" w:hAnsi="Arial" w:cs="Arial"/>
          <w:bCs/>
          <w:sz w:val="16"/>
          <w:szCs w:val="16"/>
        </w:rPr>
      </w:pPr>
    </w:p>
    <w:p w14:paraId="68D67F9B" w14:textId="2D20B04E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="007E2962" w:rsidRPr="00EF2DAB">
        <w:rPr>
          <w:rFonts w:ascii="Arial" w:hAnsi="Arial" w:cs="Arial"/>
          <w:b/>
        </w:rPr>
        <w:t>Comisión para la Juventud y el Deporte de Quintana Roo</w:t>
      </w:r>
      <w:r w:rsidR="000408F6" w:rsidRPr="00EF2DAB">
        <w:rPr>
          <w:rFonts w:ascii="Arial" w:hAnsi="Arial" w:cs="Arial"/>
          <w:b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  <w:bCs/>
        </w:rPr>
        <w:t>, siendo las principales fuentes de información fin</w:t>
      </w:r>
      <w:r w:rsidR="00206EC8" w:rsidRPr="00EF2DAB">
        <w:rPr>
          <w:rFonts w:ascii="Arial" w:hAnsi="Arial" w:cs="Arial"/>
          <w:bCs/>
        </w:rPr>
        <w:t xml:space="preserve">anciera sus estados contables, </w:t>
      </w:r>
      <w:r w:rsidRPr="00EF2DAB">
        <w:rPr>
          <w:rFonts w:ascii="Arial" w:hAnsi="Arial" w:cs="Arial"/>
          <w:bCs/>
        </w:rPr>
        <w:t>presupuestarios</w:t>
      </w:r>
      <w:r w:rsidR="00206EC8" w:rsidRPr="00EF2DAB">
        <w:rPr>
          <w:rFonts w:ascii="Arial" w:hAnsi="Arial" w:cs="Arial"/>
          <w:bCs/>
        </w:rPr>
        <w:t xml:space="preserve"> y programáticos</w:t>
      </w:r>
      <w:r w:rsidRPr="00EF2DAB">
        <w:rPr>
          <w:rFonts w:ascii="Arial" w:hAnsi="Arial" w:cs="Arial"/>
          <w:bCs/>
        </w:rPr>
        <w:t xml:space="preserve">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</w:t>
      </w:r>
      <w:r w:rsidRPr="00EF2DAB">
        <w:rPr>
          <w:rFonts w:ascii="Arial" w:hAnsi="Arial" w:cs="Arial"/>
        </w:rPr>
        <w:t>histórica</w:t>
      </w:r>
      <w:r w:rsidRPr="00EF2DAB">
        <w:rPr>
          <w:rFonts w:ascii="Arial" w:hAnsi="Arial" w:cs="Arial"/>
          <w:bCs/>
        </w:rPr>
        <w:t>, que se encuentra en los antecedentes de las auditorías practicadas y del marco jurídico institucional, tales como leyes, reglamentos, normas y lineamientos que regulan la operatividad de la entidad fiscalizada, y de los cuales se pudiesen determinar hallazgos de auditoría que se reflejasen en los resultados del objetivo de auditoría planteado al inicio de la revisión.</w:t>
      </w:r>
    </w:p>
    <w:p w14:paraId="4396CD55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lastRenderedPageBreak/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0B50162A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  <w:sz w:val="18"/>
          <w:szCs w:val="18"/>
        </w:rPr>
      </w:pPr>
    </w:p>
    <w:p w14:paraId="1A6F0C65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E. Áreas Revisadas</w:t>
      </w:r>
    </w:p>
    <w:p w14:paraId="313B4EF1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  <w:sz w:val="16"/>
          <w:szCs w:val="16"/>
        </w:rPr>
      </w:pPr>
    </w:p>
    <w:p w14:paraId="4B503BA2" w14:textId="768A13BC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</w:rPr>
        <w:t>Se revisaron las áreas de Dirección Administrativa</w:t>
      </w:r>
      <w:r w:rsidR="00A53749" w:rsidRPr="00EF2DAB">
        <w:rPr>
          <w:rFonts w:ascii="Arial" w:hAnsi="Arial" w:cs="Arial"/>
        </w:rPr>
        <w:t xml:space="preserve">, Departamentos de: Recursos Financieros, Recursos Humanos, </w:t>
      </w:r>
      <w:r w:rsidR="00ED2D0F" w:rsidRPr="00EF2DAB">
        <w:rPr>
          <w:rFonts w:ascii="Arial" w:hAnsi="Arial" w:cs="Arial"/>
        </w:rPr>
        <w:t>Recursos Materiales, Adquisici</w:t>
      </w:r>
      <w:r w:rsidR="00BD68AB" w:rsidRPr="00EF2DAB">
        <w:rPr>
          <w:rFonts w:ascii="Arial" w:hAnsi="Arial" w:cs="Arial"/>
        </w:rPr>
        <w:t xml:space="preserve">ones, Administración del CEDAR y </w:t>
      </w:r>
      <w:r w:rsidR="00A53749" w:rsidRPr="00EF2DAB">
        <w:rPr>
          <w:rFonts w:ascii="Arial" w:hAnsi="Arial" w:cs="Arial"/>
        </w:rPr>
        <w:t>Talentos Deportivos</w:t>
      </w:r>
      <w:r w:rsidRPr="00EF2DAB">
        <w:rPr>
          <w:rFonts w:ascii="Arial" w:hAnsi="Arial" w:cs="Arial"/>
          <w:bCs/>
        </w:rPr>
        <w:t xml:space="preserve"> </w:t>
      </w:r>
      <w:r w:rsidRPr="00EF2DAB">
        <w:rPr>
          <w:rFonts w:ascii="Arial" w:hAnsi="Arial" w:cs="Arial"/>
        </w:rPr>
        <w:t>de</w:t>
      </w:r>
      <w:r w:rsidR="00841318" w:rsidRPr="00EF2DAB">
        <w:rPr>
          <w:rFonts w:ascii="Arial" w:hAnsi="Arial" w:cs="Arial"/>
        </w:rPr>
        <w:t xml:space="preserve"> </w:t>
      </w:r>
      <w:r w:rsidRPr="00EF2DAB">
        <w:rPr>
          <w:rFonts w:ascii="Arial" w:hAnsi="Arial" w:cs="Arial"/>
        </w:rPr>
        <w:t>l</w:t>
      </w:r>
      <w:r w:rsidR="00841318" w:rsidRPr="00EF2DAB">
        <w:rPr>
          <w:rFonts w:ascii="Arial" w:hAnsi="Arial" w:cs="Arial"/>
        </w:rPr>
        <w:t>a</w:t>
      </w:r>
      <w:r w:rsidRPr="00EF2DAB">
        <w:rPr>
          <w:rFonts w:ascii="Arial" w:hAnsi="Arial" w:cs="Arial"/>
        </w:rPr>
        <w:t xml:space="preserve"> </w:t>
      </w:r>
      <w:r w:rsidR="007E2962" w:rsidRPr="00EF2DAB">
        <w:rPr>
          <w:rFonts w:ascii="Arial" w:hAnsi="Arial" w:cs="Arial"/>
          <w:b/>
          <w:bCs/>
        </w:rPr>
        <w:t>Comisión para la Juventud y el Deporte de Quintana Roo</w:t>
      </w:r>
      <w:r w:rsidR="000408F6" w:rsidRPr="00EF2DAB">
        <w:rPr>
          <w:rFonts w:ascii="Arial" w:hAnsi="Arial" w:cs="Arial"/>
          <w:b/>
          <w:bCs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EF2DAB">
        <w:rPr>
          <w:rFonts w:ascii="Arial" w:hAnsi="Arial" w:cs="Arial"/>
          <w:bCs/>
        </w:rPr>
        <w:t>.</w:t>
      </w:r>
    </w:p>
    <w:p w14:paraId="600C85A6" w14:textId="77777777" w:rsidR="00A623C4" w:rsidRPr="00474CEC" w:rsidRDefault="00A623C4" w:rsidP="006F534F">
      <w:pPr>
        <w:spacing w:line="360" w:lineRule="auto"/>
        <w:ind w:right="49"/>
        <w:jc w:val="both"/>
        <w:rPr>
          <w:rFonts w:ascii="Arial" w:hAnsi="Arial" w:cs="Arial"/>
        </w:rPr>
      </w:pPr>
    </w:p>
    <w:p w14:paraId="5B701C4D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F. Procedimientos de Auditoría Aplicados</w:t>
      </w:r>
    </w:p>
    <w:p w14:paraId="76FA9E7F" w14:textId="77777777" w:rsidR="00A623C4" w:rsidRPr="00474CEC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079F56E4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</w:t>
      </w:r>
      <w:r w:rsidRPr="00EF2DAB">
        <w:rPr>
          <w:rFonts w:ascii="Arial" w:hAnsi="Arial" w:cs="Arial"/>
          <w:bCs/>
        </w:rPr>
        <w:lastRenderedPageBreak/>
        <w:t>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06D519E9" w14:textId="77777777" w:rsidR="00A623C4" w:rsidRPr="00474CEC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84FB226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14:paraId="64721F9D" w14:textId="77777777" w:rsidR="00A623C4" w:rsidRPr="00474CEC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933B2A4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EF2DAB">
        <w:rPr>
          <w:rFonts w:ascii="Arial" w:hAnsi="Arial" w:cs="Arial"/>
          <w:bCs/>
        </w:rPr>
        <w:t>recálculo</w:t>
      </w:r>
      <w:proofErr w:type="spellEnd"/>
      <w:r w:rsidRPr="00EF2DAB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F58E092" w14:textId="77777777" w:rsidR="00A623C4" w:rsidRPr="00474CEC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FAC1436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779026EB" w14:textId="77777777" w:rsidR="00A623C4" w:rsidRPr="00474CEC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BA94870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184CC50F" w14:textId="77777777" w:rsidR="00206EC8" w:rsidRPr="00474CEC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54309828" w14:textId="57AE2DE4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EF2DAB">
        <w:rPr>
          <w:rFonts w:ascii="Arial" w:hAnsi="Arial" w:cs="Arial"/>
          <w:bCs/>
          <w:iCs/>
        </w:rPr>
        <w:t xml:space="preserve">2. Verificar que los adeudos por derechos a recibir efectivo o equivalentes fueron efectivamente otorgados o amortizados. </w:t>
      </w:r>
    </w:p>
    <w:p w14:paraId="50237651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  <w:sz w:val="16"/>
          <w:szCs w:val="16"/>
        </w:rPr>
      </w:pPr>
    </w:p>
    <w:p w14:paraId="674A09D9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EF2DAB">
        <w:rPr>
          <w:rFonts w:ascii="Arial" w:hAnsi="Arial" w:cs="Arial"/>
          <w:bCs/>
          <w:iCs/>
        </w:rPr>
        <w:lastRenderedPageBreak/>
        <w:t>3. Revisar la correcta revelación de estados financieros e informes contables, presupuestarios y programáticos de conformidad con la Ley General de Contabilidad Gubernamental y demás normatividad aplicable.</w:t>
      </w:r>
    </w:p>
    <w:p w14:paraId="1E68C970" w14:textId="77777777" w:rsidR="00206EC8" w:rsidRPr="00687280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35048DFA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EF2DAB">
        <w:rPr>
          <w:rFonts w:ascii="Arial" w:hAnsi="Arial" w:cs="Arial"/>
          <w:bCs/>
          <w:iCs/>
        </w:rPr>
        <w:t>4. Comprobar que el ejercicio del presupuesto se ajustó a los montos aprobados; que las modificaciones presupuestales tuvieron sustento financiero y que fueron aprobadas por quien era competente para ello.</w:t>
      </w:r>
    </w:p>
    <w:p w14:paraId="0AC783D2" w14:textId="77777777" w:rsidR="00206EC8" w:rsidRPr="00687280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2318B428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EF2DAB">
        <w:rPr>
          <w:rFonts w:ascii="Arial" w:hAnsi="Arial" w:cs="Arial"/>
          <w:bCs/>
          <w:iCs/>
        </w:rPr>
        <w:t>5. Analizar que los anticipos se otorgaron o amortizaron conforme a la normatividad aplicable.</w:t>
      </w:r>
    </w:p>
    <w:p w14:paraId="05C42419" w14:textId="77777777" w:rsidR="00206EC8" w:rsidRPr="00687280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50A98416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EF2DAB">
        <w:rPr>
          <w:rFonts w:ascii="Arial" w:hAnsi="Arial" w:cs="Arial"/>
          <w:bCs/>
          <w:iCs/>
        </w:rPr>
        <w:t>6. Examinar que los pasivos correspondieron a obligaciones reales y que fueron amortizados.</w:t>
      </w:r>
    </w:p>
    <w:p w14:paraId="123D11E4" w14:textId="77777777" w:rsidR="00206EC8" w:rsidRPr="00687280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4BE41FC2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EF2DAB">
        <w:rPr>
          <w:rFonts w:ascii="Arial" w:hAnsi="Arial" w:cs="Arial"/>
          <w:bCs/>
          <w:iCs/>
        </w:rPr>
        <w:t>7. Revisar que la contratación de servicios personales se ajustó a la disponibilidad y plazas presupuestales aprobadas, que la relación laboral se apegó a las disposiciones legales aplicables en la materia y que el personal realizó la función para la que fue contratado.</w:t>
      </w:r>
    </w:p>
    <w:p w14:paraId="09A33DB5" w14:textId="77777777" w:rsidR="00206EC8" w:rsidRPr="00687280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5682EF44" w14:textId="7777777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8. Verificar que las adquisiciones, arrendamientos y servicios se efectuaron de conformidad con los procedimientos de contratación de conformidad con la Ley de Adquisiciones, Arrendamientos y Prestación de Servicios Relacionados con Bienes Muebles del Estado de Quintana Roo, y que las erogaciones se encuentran soportadas en la documentación justificativa y comprobatoria del gasto.</w:t>
      </w:r>
    </w:p>
    <w:p w14:paraId="7821EB7A" w14:textId="77777777" w:rsidR="00206EC8" w:rsidRPr="00687280" w:rsidRDefault="00206EC8" w:rsidP="006F534F">
      <w:pPr>
        <w:spacing w:line="360" w:lineRule="auto"/>
        <w:ind w:right="49"/>
        <w:jc w:val="both"/>
        <w:rPr>
          <w:rFonts w:ascii="Arial" w:hAnsi="Arial" w:cs="Arial"/>
        </w:rPr>
      </w:pPr>
    </w:p>
    <w:p w14:paraId="4853971D" w14:textId="1BF82EF7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lang w:val="es-ES"/>
        </w:rPr>
      </w:pPr>
      <w:r w:rsidRPr="00EF2DAB">
        <w:rPr>
          <w:rFonts w:ascii="Arial" w:hAnsi="Arial" w:cs="Arial"/>
        </w:rPr>
        <w:t xml:space="preserve">9. </w:t>
      </w:r>
      <w:r w:rsidRPr="00EF2DAB">
        <w:rPr>
          <w:rFonts w:ascii="Arial" w:hAnsi="Arial" w:cs="Arial"/>
          <w:bCs/>
          <w:lang w:val="es-ES"/>
        </w:rPr>
        <w:t xml:space="preserve">Constatar que la Comisión haya registrado las etapas del Presupuesto de Egresos, en las cuentas contables que, para tal efecto, establece el Consejo Nacional de Armonización </w:t>
      </w:r>
      <w:r w:rsidRPr="00EF2DAB">
        <w:rPr>
          <w:rFonts w:ascii="Arial" w:hAnsi="Arial" w:cs="Arial"/>
          <w:bCs/>
          <w:lang w:val="es-ES"/>
        </w:rPr>
        <w:lastRenderedPageBreak/>
        <w:t>Contable, las cuales deberán reflejar: el aprobado, modificado, comprometido, devengado, ejercido y pagado.</w:t>
      </w:r>
    </w:p>
    <w:p w14:paraId="1176C70F" w14:textId="77777777" w:rsidR="00EF2DAB" w:rsidRPr="00EF2DAB" w:rsidRDefault="00EF2DAB" w:rsidP="006F534F">
      <w:pPr>
        <w:spacing w:line="360" w:lineRule="auto"/>
        <w:ind w:right="49"/>
        <w:jc w:val="both"/>
        <w:rPr>
          <w:rFonts w:ascii="Arial" w:hAnsi="Arial" w:cs="Arial"/>
        </w:rPr>
      </w:pPr>
    </w:p>
    <w:p w14:paraId="1BC3E205" w14:textId="137CBF6B" w:rsidR="00EF2DAB" w:rsidRPr="00EF2DAB" w:rsidRDefault="00EF2DAB" w:rsidP="006F534F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EF2DAB">
        <w:rPr>
          <w:rFonts w:ascii="Arial" w:hAnsi="Arial" w:cs="Arial"/>
        </w:rPr>
        <w:t xml:space="preserve">10. </w:t>
      </w:r>
      <w:r w:rsidRPr="00EF2DAB">
        <w:rPr>
          <w:rFonts w:ascii="Arial" w:hAnsi="Arial" w:cs="Arial"/>
          <w:bCs/>
          <w:iCs/>
        </w:rPr>
        <w:t>Constatar que se acreditó la propiedad de los bienes muebles, así como su existencia física, resguardo e inventario.</w:t>
      </w:r>
    </w:p>
    <w:p w14:paraId="6BABE25E" w14:textId="77777777" w:rsidR="00EF2DAB" w:rsidRPr="00687280" w:rsidRDefault="00EF2DAB" w:rsidP="006F534F">
      <w:pPr>
        <w:spacing w:line="360" w:lineRule="auto"/>
        <w:ind w:right="49"/>
        <w:jc w:val="both"/>
        <w:rPr>
          <w:rFonts w:ascii="Arial" w:hAnsi="Arial" w:cs="Arial"/>
          <w:bCs/>
          <w:lang w:val="es-ES"/>
        </w:rPr>
      </w:pPr>
    </w:p>
    <w:p w14:paraId="26EE6D08" w14:textId="6808B901" w:rsidR="00206EC8" w:rsidRPr="00EF2DAB" w:rsidRDefault="00EF2DAB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11</w:t>
      </w:r>
      <w:r w:rsidR="00206EC8" w:rsidRPr="00EF2DAB">
        <w:rPr>
          <w:rFonts w:ascii="Arial" w:hAnsi="Arial" w:cs="Arial"/>
        </w:rPr>
        <w:t>. Examen crítico de los documentos que respaldan los gastos de Materiales y Suministros (capítulo 2000), Servicios Generales (capítulo 3000), y Adquisiciones de Bienes Muebles, Inmuebles e Intangibles (capítulo 5000), para verificar que los bienes o servicios hayan sido efectivamente recibidos y derivados de transacciones normales y propias de</w:t>
      </w:r>
      <w:r w:rsidR="00031E04">
        <w:rPr>
          <w:rFonts w:ascii="Arial" w:hAnsi="Arial" w:cs="Arial"/>
        </w:rPr>
        <w:t xml:space="preserve"> </w:t>
      </w:r>
      <w:r w:rsidR="00206EC8" w:rsidRPr="00EF2DAB">
        <w:rPr>
          <w:rFonts w:ascii="Arial" w:hAnsi="Arial" w:cs="Arial"/>
        </w:rPr>
        <w:t>l</w:t>
      </w:r>
      <w:r w:rsidR="00031E04">
        <w:rPr>
          <w:rFonts w:ascii="Arial" w:hAnsi="Arial" w:cs="Arial"/>
        </w:rPr>
        <w:t>a</w:t>
      </w:r>
      <w:r w:rsidR="00206EC8" w:rsidRPr="00EF2DAB">
        <w:rPr>
          <w:rFonts w:ascii="Arial" w:hAnsi="Arial" w:cs="Arial"/>
        </w:rPr>
        <w:t xml:space="preserve"> </w:t>
      </w:r>
      <w:r w:rsidR="00031E04">
        <w:rPr>
          <w:rFonts w:ascii="Arial" w:hAnsi="Arial" w:cs="Arial"/>
        </w:rPr>
        <w:t>Comisión</w:t>
      </w:r>
      <w:r w:rsidR="00206EC8" w:rsidRPr="00EF2DAB">
        <w:rPr>
          <w:rFonts w:ascii="Arial" w:hAnsi="Arial" w:cs="Arial"/>
        </w:rPr>
        <w:t>.</w:t>
      </w:r>
    </w:p>
    <w:p w14:paraId="0DB365EA" w14:textId="79958776" w:rsidR="0049307C" w:rsidRPr="00687280" w:rsidRDefault="0049307C" w:rsidP="006F534F">
      <w:pPr>
        <w:spacing w:line="360" w:lineRule="auto"/>
        <w:ind w:right="49"/>
        <w:jc w:val="both"/>
        <w:rPr>
          <w:rFonts w:ascii="Arial" w:hAnsi="Arial" w:cs="Arial"/>
          <w:highlight w:val="yellow"/>
        </w:rPr>
      </w:pPr>
    </w:p>
    <w:p w14:paraId="411C1DDE" w14:textId="2B0D672A" w:rsidR="0049307C" w:rsidRPr="00EF2DAB" w:rsidRDefault="00EF2DAB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12</w:t>
      </w:r>
      <w:r w:rsidR="0049307C" w:rsidRPr="00EF2DAB">
        <w:rPr>
          <w:rFonts w:ascii="Arial" w:hAnsi="Arial" w:cs="Arial"/>
        </w:rPr>
        <w:t xml:space="preserve">. Constatar que las </w:t>
      </w:r>
      <w:r w:rsidR="0049307C" w:rsidRPr="00EF2DAB">
        <w:rPr>
          <w:rFonts w:ascii="Arial" w:hAnsi="Arial" w:cs="Arial"/>
          <w:bCs/>
        </w:rPr>
        <w:t xml:space="preserve">Transferencias, Asignaciones, Subsidios y Otras Ayudas (capítulo 4000) </w:t>
      </w:r>
      <w:r w:rsidR="00ED2D0F" w:rsidRPr="00EF2DAB">
        <w:rPr>
          <w:rFonts w:ascii="Arial" w:hAnsi="Arial" w:cs="Arial"/>
        </w:rPr>
        <w:t xml:space="preserve">cumplieron con los requisitos y/o convenios de coordinación celebrados con terceros. </w:t>
      </w:r>
    </w:p>
    <w:p w14:paraId="3F6663D0" w14:textId="77777777" w:rsidR="0049307C" w:rsidRPr="00687280" w:rsidRDefault="0049307C" w:rsidP="006F534F">
      <w:pPr>
        <w:pStyle w:val="Prrafodelista"/>
        <w:spacing w:line="360" w:lineRule="auto"/>
        <w:ind w:left="0" w:right="49"/>
        <w:jc w:val="both"/>
        <w:rPr>
          <w:rFonts w:ascii="Arial" w:hAnsi="Arial" w:cs="Arial"/>
          <w:bCs/>
          <w:lang w:val="es-ES"/>
        </w:rPr>
      </w:pPr>
    </w:p>
    <w:p w14:paraId="2C9E130F" w14:textId="14577728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La fiscalización se realizó conforme a los principios de legalidad, </w:t>
      </w:r>
      <w:proofErr w:type="spellStart"/>
      <w:r w:rsidRPr="00EF2DAB">
        <w:rPr>
          <w:rFonts w:ascii="Arial" w:hAnsi="Arial" w:cs="Arial"/>
          <w:bCs/>
        </w:rPr>
        <w:t>definitividad</w:t>
      </w:r>
      <w:proofErr w:type="spellEnd"/>
      <w:r w:rsidRPr="00EF2DAB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documento.</w:t>
      </w:r>
    </w:p>
    <w:p w14:paraId="7A82F1E0" w14:textId="77777777" w:rsidR="00EF2DAB" w:rsidRPr="00687280" w:rsidRDefault="00EF2DAB" w:rsidP="006F534F">
      <w:pPr>
        <w:spacing w:line="360" w:lineRule="auto"/>
        <w:ind w:right="49"/>
        <w:jc w:val="both"/>
        <w:rPr>
          <w:rFonts w:ascii="Arial" w:hAnsi="Arial" w:cs="Arial"/>
          <w:bCs/>
          <w:sz w:val="28"/>
          <w:szCs w:val="28"/>
        </w:rPr>
      </w:pPr>
    </w:p>
    <w:p w14:paraId="1194206D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G. Servidores Públicos que intervinieron en la Auditoría</w:t>
      </w:r>
    </w:p>
    <w:p w14:paraId="7AACB835" w14:textId="77777777" w:rsidR="00A623C4" w:rsidRPr="00687280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4717ADB" w14:textId="77777777" w:rsidR="00206EC8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encuentra referido en la orden emitida con oficio </w:t>
      </w:r>
      <w:r w:rsidRPr="00EF2DAB">
        <w:rPr>
          <w:rFonts w:ascii="Arial" w:hAnsi="Arial" w:cs="Arial"/>
          <w:bCs/>
        </w:rPr>
        <w:lastRenderedPageBreak/>
        <w:t xml:space="preserve">número </w:t>
      </w:r>
      <w:r w:rsidR="00206EC8" w:rsidRPr="00EF2DAB">
        <w:rPr>
          <w:rFonts w:ascii="Arial" w:hAnsi="Arial" w:cs="Arial"/>
          <w:bCs/>
        </w:rPr>
        <w:t>ASEQROO/ASE/AEMF/0815/07/2023, siendo las servidoras públicas a cargo de coordinar y supervisar la auditoría, las siguientes:</w:t>
      </w:r>
    </w:p>
    <w:p w14:paraId="3082EEB7" w14:textId="77777777" w:rsidR="00206EC8" w:rsidRPr="00687280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206EC8" w:rsidRPr="00EF2DAB" w14:paraId="3B5876DA" w14:textId="77777777" w:rsidTr="00482609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2A0C9D13" w14:textId="77777777" w:rsidR="00206EC8" w:rsidRPr="00EF2DAB" w:rsidRDefault="00206EC8" w:rsidP="006F534F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0F2BD64" w14:textId="77777777" w:rsidR="00206EC8" w:rsidRPr="00EF2DAB" w:rsidRDefault="00206EC8" w:rsidP="006F534F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EF2DAB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206EC8" w:rsidRPr="00EF2DAB" w14:paraId="089B88F0" w14:textId="77777777" w:rsidTr="00482609">
        <w:trPr>
          <w:jc w:val="center"/>
        </w:trPr>
        <w:tc>
          <w:tcPr>
            <w:tcW w:w="6374" w:type="dxa"/>
            <w:shd w:val="clear" w:color="auto" w:fill="auto"/>
          </w:tcPr>
          <w:p w14:paraId="4BD454A6" w14:textId="77777777" w:rsidR="00206EC8" w:rsidRPr="00EF2DAB" w:rsidRDefault="00206EC8" w:rsidP="006F534F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 xml:space="preserve">M. en </w:t>
            </w:r>
            <w:proofErr w:type="spellStart"/>
            <w:r w:rsidRPr="00EF2DAB">
              <w:rPr>
                <w:rFonts w:ascii="Arial" w:hAnsi="Arial" w:cs="Arial"/>
                <w:bCs/>
              </w:rPr>
              <w:t>Aud</w:t>
            </w:r>
            <w:proofErr w:type="spellEnd"/>
            <w:r w:rsidRPr="00EF2DAB">
              <w:rPr>
                <w:rFonts w:ascii="Arial" w:hAnsi="Arial" w:cs="Arial"/>
                <w:bCs/>
              </w:rPr>
              <w:t>. Adelaida Hernández Marcial</w:t>
            </w:r>
          </w:p>
        </w:tc>
        <w:tc>
          <w:tcPr>
            <w:tcW w:w="2977" w:type="dxa"/>
            <w:shd w:val="clear" w:color="auto" w:fill="auto"/>
          </w:tcPr>
          <w:p w14:paraId="2BC03AC6" w14:textId="77777777" w:rsidR="00206EC8" w:rsidRPr="00EF2DAB" w:rsidRDefault="00206EC8" w:rsidP="006F534F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>Coordinadora</w:t>
            </w:r>
          </w:p>
        </w:tc>
      </w:tr>
      <w:tr w:rsidR="00206EC8" w:rsidRPr="00EF2DAB" w14:paraId="5622124D" w14:textId="77777777" w:rsidTr="00482609">
        <w:trPr>
          <w:jc w:val="center"/>
        </w:trPr>
        <w:tc>
          <w:tcPr>
            <w:tcW w:w="6374" w:type="dxa"/>
            <w:shd w:val="clear" w:color="auto" w:fill="auto"/>
          </w:tcPr>
          <w:p w14:paraId="51E10BD8" w14:textId="77777777" w:rsidR="00206EC8" w:rsidRPr="00EF2DAB" w:rsidRDefault="00206EC8" w:rsidP="006F534F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>L.C. María Victoria Ochoa Muñoz</w:t>
            </w:r>
          </w:p>
        </w:tc>
        <w:tc>
          <w:tcPr>
            <w:tcW w:w="2977" w:type="dxa"/>
            <w:shd w:val="clear" w:color="auto" w:fill="auto"/>
          </w:tcPr>
          <w:p w14:paraId="41904133" w14:textId="77777777" w:rsidR="00206EC8" w:rsidRPr="00EF2DAB" w:rsidRDefault="00206EC8" w:rsidP="006F534F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EF2DAB">
              <w:rPr>
                <w:rFonts w:ascii="Arial" w:hAnsi="Arial" w:cs="Arial"/>
                <w:bCs/>
              </w:rPr>
              <w:t>Supervisora</w:t>
            </w:r>
          </w:p>
        </w:tc>
      </w:tr>
    </w:tbl>
    <w:p w14:paraId="7E29F620" w14:textId="3991AB9D" w:rsidR="00A623C4" w:rsidRPr="00687280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  <w:sz w:val="28"/>
          <w:szCs w:val="28"/>
        </w:rPr>
      </w:pPr>
    </w:p>
    <w:p w14:paraId="26363448" w14:textId="0453232A" w:rsidR="00A623C4" w:rsidRPr="00EF2DAB" w:rsidRDefault="00DD5FFA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I</w:t>
      </w:r>
      <w:r w:rsidR="00A623C4" w:rsidRPr="00EF2DAB">
        <w:rPr>
          <w:rFonts w:ascii="Arial" w:hAnsi="Arial" w:cs="Arial"/>
          <w:b/>
        </w:rPr>
        <w:t>I.2. CUMPLIMIENTO DE DISPOSICIONES LEGALES Y NORMATIVAS</w:t>
      </w:r>
    </w:p>
    <w:p w14:paraId="08807ABD" w14:textId="77777777" w:rsidR="00A623C4" w:rsidRPr="00687280" w:rsidRDefault="00A623C4" w:rsidP="006F534F">
      <w:pPr>
        <w:spacing w:line="360" w:lineRule="auto"/>
        <w:ind w:right="49"/>
        <w:jc w:val="both"/>
        <w:rPr>
          <w:rFonts w:ascii="Arial" w:hAnsi="Arial" w:cs="Arial"/>
          <w:sz w:val="28"/>
          <w:szCs w:val="28"/>
        </w:rPr>
      </w:pPr>
    </w:p>
    <w:p w14:paraId="35F0AECC" w14:textId="28C20EDD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F2DAB">
        <w:rPr>
          <w:rFonts w:ascii="Arial" w:hAnsi="Arial" w:cs="Arial"/>
          <w:bCs/>
        </w:rPr>
        <w:t>La revisión se llevó a cabo aplicando Normas Profesionales de Auditoría del Sistema Nacional de Fiscalización, así como en apego a la Ley General de Contabilidad Gubernamental, Presupuesto de Egresos y lo emitido por el Consejo Nacional de Armonización Contable (CONAC), dando cumplimiento a las diversas disposiciones legales y normativas aplicables, en observancia al artículo 38 fracción III de la Ley de Fiscalización y Rendición de Cuentas del Estado de Quintana Roo; por lo que se incluyeron pruebas a los registros de contabilidad y procedimientos de verificación que se consideraron necesarios en hechos y circunstancias, relativas a los estados financieros</w:t>
      </w:r>
      <w:r w:rsidR="00CE6B45">
        <w:rPr>
          <w:rFonts w:ascii="Arial" w:hAnsi="Arial" w:cs="Arial"/>
          <w:bCs/>
        </w:rPr>
        <w:t>,</w:t>
      </w:r>
      <w:r w:rsidRPr="00EF2DAB">
        <w:rPr>
          <w:rFonts w:ascii="Arial" w:hAnsi="Arial" w:cs="Arial"/>
          <w:bCs/>
        </w:rPr>
        <w:t xml:space="preserve"> presupuestarios </w:t>
      </w:r>
      <w:r w:rsidR="00CE6B45">
        <w:rPr>
          <w:rFonts w:ascii="Arial" w:hAnsi="Arial" w:cs="Arial"/>
          <w:bCs/>
        </w:rPr>
        <w:t xml:space="preserve">y programáticos </w:t>
      </w:r>
      <w:r w:rsidRPr="00EF2DAB">
        <w:rPr>
          <w:rFonts w:ascii="Arial" w:hAnsi="Arial" w:cs="Arial"/>
          <w:bCs/>
        </w:rPr>
        <w:t>sujetos a examen, mediante los cuales se obtuvieron las bases para fundamentar el dictamen del Informe Individual</w:t>
      </w:r>
      <w:r w:rsidR="00B7265B" w:rsidRPr="00EF2DAB">
        <w:rPr>
          <w:rFonts w:ascii="Arial" w:hAnsi="Arial" w:cs="Arial"/>
          <w:bCs/>
        </w:rPr>
        <w:t xml:space="preserve"> de Auditoría</w:t>
      </w:r>
      <w:r w:rsidRPr="00EF2DAB">
        <w:rPr>
          <w:rFonts w:ascii="Arial" w:hAnsi="Arial" w:cs="Arial"/>
          <w:bCs/>
        </w:rPr>
        <w:t>.</w:t>
      </w:r>
    </w:p>
    <w:p w14:paraId="7C2B34BC" w14:textId="6BEC702D" w:rsidR="00DD5FFA" w:rsidRPr="00687280" w:rsidRDefault="00DD5FFA" w:rsidP="006F534F">
      <w:pPr>
        <w:spacing w:line="360" w:lineRule="auto"/>
        <w:ind w:right="49"/>
        <w:jc w:val="both"/>
        <w:rPr>
          <w:rFonts w:ascii="Arial" w:hAnsi="Arial" w:cs="Arial"/>
          <w:sz w:val="28"/>
          <w:szCs w:val="28"/>
        </w:rPr>
      </w:pPr>
    </w:p>
    <w:p w14:paraId="2E58A7B1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A. Conclusiones</w:t>
      </w:r>
    </w:p>
    <w:p w14:paraId="1A260692" w14:textId="77777777" w:rsidR="00A623C4" w:rsidRPr="00687280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  <w:sz w:val="28"/>
          <w:szCs w:val="28"/>
        </w:rPr>
      </w:pPr>
    </w:p>
    <w:p w14:paraId="04D77C46" w14:textId="010DBD59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EF2DAB">
        <w:rPr>
          <w:rFonts w:ascii="Arial" w:hAnsi="Arial" w:cs="Arial"/>
          <w:bCs/>
          <w:iCs/>
          <w:shd w:val="clear" w:color="auto" w:fill="FFFFFF" w:themeFill="background1"/>
        </w:rPr>
        <w:t>Se constató el cumplimiento de la Ley General de Contabilidad Gubernamental, Presupuesto de Egresos, así como de lo emitido por el Consejo Nacional de Armonización Contable (CONAC), y demás disposiciones legales y normativas aplicables</w:t>
      </w:r>
      <w:r w:rsidR="0044255E" w:rsidRPr="00EF2DAB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3101A4CF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71C76F0" w14:textId="445273E9" w:rsidR="00A623C4" w:rsidRPr="00EF2DAB" w:rsidRDefault="00DD5FFA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lastRenderedPageBreak/>
        <w:t>I</w:t>
      </w:r>
      <w:r w:rsidR="00A623C4" w:rsidRPr="00EF2DAB">
        <w:rPr>
          <w:rFonts w:ascii="Arial" w:hAnsi="Arial" w:cs="Arial"/>
          <w:b/>
        </w:rPr>
        <w:t>I.3. RESULTADOS DE LA FISCALIZACIÓN EFECTUADA</w:t>
      </w:r>
    </w:p>
    <w:p w14:paraId="0A0B9195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</w:rPr>
      </w:pPr>
    </w:p>
    <w:p w14:paraId="58D5DA20" w14:textId="79707D56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De conformidad con los 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EF2DAB">
        <w:rPr>
          <w:rFonts w:ascii="Arial" w:hAnsi="Arial"/>
        </w:rPr>
        <w:t>,</w:t>
      </w:r>
      <w:r w:rsidRPr="00EF2DAB">
        <w:rPr>
          <w:rFonts w:ascii="Arial" w:hAnsi="Arial" w:cs="Arial"/>
        </w:rPr>
        <w:t xml:space="preserve"> durante este proceso de fiscalización se presentaron </w:t>
      </w:r>
      <w:r w:rsidRPr="00EF2DAB">
        <w:rPr>
          <w:rFonts w:ascii="Arial" w:hAnsi="Arial" w:cs="Arial"/>
          <w:b/>
        </w:rPr>
        <w:t>22</w:t>
      </w:r>
      <w:r w:rsidRPr="00EF2DAB">
        <w:rPr>
          <w:rFonts w:ascii="Arial" w:hAnsi="Arial" w:cs="Arial"/>
        </w:rPr>
        <w:t xml:space="preserve"> resultados finales de auditoría y se determinaron </w:t>
      </w:r>
      <w:r w:rsidRPr="00EF2DAB">
        <w:rPr>
          <w:rFonts w:ascii="Arial" w:hAnsi="Arial" w:cs="Arial"/>
          <w:b/>
        </w:rPr>
        <w:t>25</w:t>
      </w:r>
      <w:r w:rsidRPr="00EF2DAB">
        <w:rPr>
          <w:rFonts w:ascii="Arial" w:hAnsi="Arial" w:cs="Arial"/>
        </w:rPr>
        <w:t xml:space="preserve"> observaciones, </w:t>
      </w:r>
      <w:r w:rsidR="000800A9" w:rsidRPr="00EF2DAB">
        <w:rPr>
          <w:rFonts w:ascii="Arial" w:hAnsi="Arial" w:cs="Arial"/>
        </w:rPr>
        <w:t xml:space="preserve">de las cuales </w:t>
      </w:r>
      <w:r w:rsidR="0044255E" w:rsidRPr="00EF2DAB">
        <w:rPr>
          <w:rFonts w:ascii="Arial" w:hAnsi="Arial" w:cs="Arial"/>
          <w:b/>
        </w:rPr>
        <w:t>11</w:t>
      </w:r>
      <w:r w:rsidR="000800A9" w:rsidRPr="00EF2DAB">
        <w:rPr>
          <w:rFonts w:ascii="Arial" w:hAnsi="Arial" w:cs="Arial"/>
        </w:rPr>
        <w:t xml:space="preserve"> fueron solventadas y </w:t>
      </w:r>
      <w:r w:rsidR="000800A9" w:rsidRPr="00EF2DAB">
        <w:rPr>
          <w:rFonts w:ascii="Arial" w:hAnsi="Arial" w:cs="Arial"/>
          <w:b/>
        </w:rPr>
        <w:t>1</w:t>
      </w:r>
      <w:r w:rsidR="0044255E" w:rsidRPr="00EF2DAB">
        <w:rPr>
          <w:rFonts w:ascii="Arial" w:hAnsi="Arial" w:cs="Arial"/>
          <w:b/>
        </w:rPr>
        <w:t>4</w:t>
      </w:r>
      <w:r w:rsidRPr="00EF2DAB">
        <w:rPr>
          <w:rFonts w:ascii="Arial" w:hAnsi="Arial" w:cs="Arial"/>
        </w:rPr>
        <w:t xml:space="preserve"> se encuentran pendientes de solventar; emitiéndose </w:t>
      </w:r>
      <w:r w:rsidR="000800A9" w:rsidRPr="00EF2DAB">
        <w:rPr>
          <w:rFonts w:ascii="Arial" w:hAnsi="Arial" w:cs="Arial"/>
          <w:b/>
        </w:rPr>
        <w:t>3</w:t>
      </w:r>
      <w:r w:rsidR="0044255E" w:rsidRPr="00EF2DAB">
        <w:rPr>
          <w:rFonts w:ascii="Arial" w:hAnsi="Arial" w:cs="Arial"/>
        </w:rPr>
        <w:t xml:space="preserve"> Solicitudes de A</w:t>
      </w:r>
      <w:r w:rsidR="000800A9" w:rsidRPr="00EF2DAB">
        <w:rPr>
          <w:rFonts w:ascii="Arial" w:hAnsi="Arial" w:cs="Arial"/>
        </w:rPr>
        <w:t xml:space="preserve">claración, y </w:t>
      </w:r>
      <w:r w:rsidR="000800A9" w:rsidRPr="00EF2DAB">
        <w:rPr>
          <w:rFonts w:ascii="Arial" w:hAnsi="Arial" w:cs="Arial"/>
          <w:b/>
        </w:rPr>
        <w:t>1</w:t>
      </w:r>
      <w:r w:rsidR="0044255E" w:rsidRPr="00EF2DAB">
        <w:rPr>
          <w:rFonts w:ascii="Arial" w:hAnsi="Arial" w:cs="Arial"/>
          <w:b/>
        </w:rPr>
        <w:t>1</w:t>
      </w:r>
      <w:r w:rsidRPr="00EF2DAB">
        <w:rPr>
          <w:rFonts w:ascii="Arial" w:hAnsi="Arial" w:cs="Arial"/>
        </w:rPr>
        <w:t xml:space="preserve"> recomendaciones, como sugerencia para fortalecer los procesos administrativ</w:t>
      </w:r>
      <w:r w:rsidR="000800A9" w:rsidRPr="00EF2DAB">
        <w:rPr>
          <w:rFonts w:ascii="Arial" w:hAnsi="Arial" w:cs="Arial"/>
        </w:rPr>
        <w:t>os y los sistemas de control de la Comisión</w:t>
      </w:r>
      <w:r w:rsidRPr="00EF2DAB">
        <w:rPr>
          <w:rFonts w:ascii="Arial" w:hAnsi="Arial" w:cs="Arial"/>
        </w:rPr>
        <w:t>.</w:t>
      </w:r>
    </w:p>
    <w:p w14:paraId="0B2DC9D6" w14:textId="77777777" w:rsidR="00C02910" w:rsidRPr="00EF2DAB" w:rsidRDefault="00C02910" w:rsidP="006F534F">
      <w:pPr>
        <w:spacing w:line="360" w:lineRule="auto"/>
        <w:ind w:right="49"/>
        <w:jc w:val="both"/>
      </w:pPr>
    </w:p>
    <w:p w14:paraId="2FC2FF0D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A. Resumen de Resultados Finales de Auditoría, Observaciones Determinadas, Acciones y Recomendaciones Emitidas</w:t>
      </w:r>
    </w:p>
    <w:p w14:paraId="66BF6465" w14:textId="77777777" w:rsidR="00A623C4" w:rsidRPr="00EF2DAB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5C385BDE" w14:textId="40063CB1" w:rsidR="00206EC8" w:rsidRPr="00EF2DAB" w:rsidRDefault="00206EC8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 xml:space="preserve">En cumplimiento al artículo 38 fracción V de la Ley de Fiscalización y Rendición de Cuentas del Estado de Quintana Roo, y derivado del proceso de fiscalización al ente auditado se determinaron resultados finales de auditoría y observaciones en materia financiera, que derivaron en la emisión de </w:t>
      </w:r>
      <w:r w:rsidR="000D57E1" w:rsidRPr="00EF2DAB">
        <w:rPr>
          <w:rFonts w:ascii="Arial" w:hAnsi="Arial" w:cs="Arial"/>
        </w:rPr>
        <w:t xml:space="preserve">acciones y </w:t>
      </w:r>
      <w:r w:rsidRPr="00EF2DAB">
        <w:rPr>
          <w:rFonts w:ascii="Arial" w:hAnsi="Arial" w:cs="Arial"/>
        </w:rPr>
        <w:t>recomendaciones, mismas que se presentan en la tabla siguiente:</w:t>
      </w:r>
    </w:p>
    <w:p w14:paraId="4A532133" w14:textId="77777777" w:rsidR="008A4130" w:rsidRPr="00EF2DAB" w:rsidRDefault="008A4130" w:rsidP="00206EC8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1"/>
        <w:tblW w:w="5076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2849"/>
        <w:gridCol w:w="2993"/>
        <w:gridCol w:w="2136"/>
      </w:tblGrid>
      <w:tr w:rsidR="00641911" w:rsidRPr="00687280" w14:paraId="4DC880FE" w14:textId="77777777" w:rsidTr="00641911">
        <w:trPr>
          <w:tblHeader/>
        </w:trPr>
        <w:tc>
          <w:tcPr>
            <w:tcW w:w="940" w:type="pct"/>
            <w:shd w:val="clear" w:color="auto" w:fill="D0CECE"/>
            <w:vAlign w:val="center"/>
          </w:tcPr>
          <w:p w14:paraId="2AFE08E1" w14:textId="77777777" w:rsidR="00641911" w:rsidRPr="00687280" w:rsidRDefault="00641911" w:rsidP="0068728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Referencia</w:t>
            </w:r>
          </w:p>
        </w:tc>
        <w:tc>
          <w:tcPr>
            <w:tcW w:w="1450" w:type="pct"/>
            <w:shd w:val="clear" w:color="auto" w:fill="D0CECE"/>
            <w:vAlign w:val="center"/>
          </w:tcPr>
          <w:p w14:paraId="6EA76425" w14:textId="77777777" w:rsidR="00641911" w:rsidRPr="00687280" w:rsidRDefault="00641911" w:rsidP="0068728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Concepto del Resultado</w:t>
            </w:r>
          </w:p>
        </w:tc>
        <w:tc>
          <w:tcPr>
            <w:tcW w:w="1523" w:type="pct"/>
            <w:shd w:val="clear" w:color="auto" w:fill="D0CECE"/>
            <w:vAlign w:val="center"/>
          </w:tcPr>
          <w:p w14:paraId="26B9D96D" w14:textId="77777777" w:rsidR="00641911" w:rsidRPr="00687280" w:rsidRDefault="00641911" w:rsidP="0068728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Tipo de Observación</w:t>
            </w:r>
          </w:p>
        </w:tc>
        <w:tc>
          <w:tcPr>
            <w:tcW w:w="1087" w:type="pct"/>
            <w:shd w:val="clear" w:color="auto" w:fill="D0CECE"/>
            <w:vAlign w:val="center"/>
          </w:tcPr>
          <w:p w14:paraId="32FB39CD" w14:textId="77777777" w:rsidR="00641911" w:rsidRPr="00687280" w:rsidRDefault="00641911" w:rsidP="00687280">
            <w:pPr>
              <w:spacing w:line="360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87280">
              <w:rPr>
                <w:rFonts w:ascii="Arial" w:hAnsi="Arial" w:cs="Arial"/>
                <w:b/>
                <w:bCs/>
                <w:sz w:val="19"/>
                <w:szCs w:val="19"/>
              </w:rPr>
              <w:t>Monto Observado/</w:t>
            </w:r>
          </w:p>
          <w:p w14:paraId="4C28A180" w14:textId="6AE54E81" w:rsidR="00641911" w:rsidRPr="00687280" w:rsidRDefault="00641911" w:rsidP="00687280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/>
                <w:bCs/>
                <w:sz w:val="19"/>
                <w:szCs w:val="19"/>
              </w:rPr>
              <w:t>Acciones y Recomendaciones Emitidas</w:t>
            </w:r>
          </w:p>
        </w:tc>
      </w:tr>
      <w:tr w:rsidR="00641911" w:rsidRPr="00687280" w14:paraId="357BC914" w14:textId="77777777" w:rsidTr="00641911">
        <w:trPr>
          <w:trHeight w:val="648"/>
        </w:trPr>
        <w:tc>
          <w:tcPr>
            <w:tcW w:w="940" w:type="pct"/>
          </w:tcPr>
          <w:p w14:paraId="200973C8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</w:t>
            </w:r>
          </w:p>
          <w:p w14:paraId="25AB7B87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</w:t>
            </w:r>
          </w:p>
        </w:tc>
        <w:tc>
          <w:tcPr>
            <w:tcW w:w="1450" w:type="pct"/>
          </w:tcPr>
          <w:p w14:paraId="3EAEA28A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Controles deficientes en el registro de operaciones similares</w:t>
            </w:r>
          </w:p>
        </w:tc>
        <w:tc>
          <w:tcPr>
            <w:tcW w:w="1523" w:type="pct"/>
          </w:tcPr>
          <w:p w14:paraId="72E221F9" w14:textId="6257853C" w:rsidR="00641911" w:rsidRPr="00687280" w:rsidRDefault="005576BD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(4C</w:t>
            </w:r>
            <w:r w:rsidR="00641911" w:rsidRPr="00687280">
              <w:rPr>
                <w:rFonts w:ascii="Arial" w:hAnsi="Arial" w:cs="Arial"/>
                <w:sz w:val="19"/>
                <w:szCs w:val="19"/>
              </w:rPr>
              <w:t>) O</w:t>
            </w:r>
            <w:r w:rsidRPr="00687280">
              <w:rPr>
                <w:rFonts w:ascii="Arial" w:hAnsi="Arial" w:cs="Arial"/>
                <w:sz w:val="19"/>
                <w:szCs w:val="19"/>
              </w:rPr>
              <w:t>misiones o inconsistencias en la presentación de información financiera</w:t>
            </w:r>
          </w:p>
        </w:tc>
        <w:tc>
          <w:tcPr>
            <w:tcW w:w="1087" w:type="pct"/>
          </w:tcPr>
          <w:p w14:paraId="0061968E" w14:textId="77777777" w:rsidR="00982149" w:rsidRPr="00687280" w:rsidRDefault="00982149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Solventado</w:t>
            </w:r>
          </w:p>
          <w:p w14:paraId="683E34C8" w14:textId="27E45F85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641911" w:rsidRPr="00687280" w14:paraId="381C9B7F" w14:textId="77777777" w:rsidTr="00641911">
        <w:trPr>
          <w:trHeight w:val="195"/>
        </w:trPr>
        <w:tc>
          <w:tcPr>
            <w:tcW w:w="940" w:type="pct"/>
          </w:tcPr>
          <w:p w14:paraId="68DDD7BC" w14:textId="592366BC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lastRenderedPageBreak/>
              <w:t>Resultado: 1</w:t>
            </w:r>
          </w:p>
          <w:p w14:paraId="21AA2E7A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2</w:t>
            </w:r>
          </w:p>
        </w:tc>
        <w:tc>
          <w:tcPr>
            <w:tcW w:w="1450" w:type="pct"/>
          </w:tcPr>
          <w:p w14:paraId="18C5B65F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Controles deficientes en el registro de operaciones similares</w:t>
            </w: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23" w:type="pct"/>
          </w:tcPr>
          <w:p w14:paraId="274BFD61" w14:textId="7BCB2D5A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(4B) Operaciones o bienes no registrados o registrados errónea o extemporáneamente</w:t>
            </w:r>
          </w:p>
        </w:tc>
        <w:tc>
          <w:tcPr>
            <w:tcW w:w="1087" w:type="pct"/>
          </w:tcPr>
          <w:p w14:paraId="60840E58" w14:textId="77777777" w:rsidR="00982149" w:rsidRPr="00687280" w:rsidRDefault="00982149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Solventado</w:t>
            </w:r>
          </w:p>
          <w:p w14:paraId="2944311B" w14:textId="40D9043A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641911" w:rsidRPr="00687280" w14:paraId="06959F0F" w14:textId="77777777" w:rsidTr="00641911">
        <w:trPr>
          <w:trHeight w:val="195"/>
        </w:trPr>
        <w:tc>
          <w:tcPr>
            <w:tcW w:w="940" w:type="pct"/>
          </w:tcPr>
          <w:p w14:paraId="3C8623F0" w14:textId="5E6F5B9E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</w:t>
            </w:r>
          </w:p>
          <w:p w14:paraId="011D8F00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3</w:t>
            </w:r>
          </w:p>
        </w:tc>
        <w:tc>
          <w:tcPr>
            <w:tcW w:w="1450" w:type="pct"/>
          </w:tcPr>
          <w:p w14:paraId="66039A2F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Controles deficientes en el registro de operaciones similares</w:t>
            </w: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523" w:type="pct"/>
          </w:tcPr>
          <w:p w14:paraId="12848A10" w14:textId="475F920F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(4B) Operaciones o bienes no registrados o registrados errónea o extemporáneamente</w:t>
            </w:r>
          </w:p>
        </w:tc>
        <w:tc>
          <w:tcPr>
            <w:tcW w:w="1087" w:type="pct"/>
          </w:tcPr>
          <w:p w14:paraId="6ACE414E" w14:textId="77777777" w:rsidR="00982149" w:rsidRPr="00687280" w:rsidRDefault="00982149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Solventado</w:t>
            </w:r>
          </w:p>
          <w:p w14:paraId="01B136F2" w14:textId="49089F26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641911" w:rsidRPr="00687280" w14:paraId="3D2F2049" w14:textId="77777777" w:rsidTr="00641911">
        <w:tc>
          <w:tcPr>
            <w:tcW w:w="940" w:type="pct"/>
          </w:tcPr>
          <w:p w14:paraId="3503BE52" w14:textId="66B0453E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2</w:t>
            </w:r>
          </w:p>
          <w:p w14:paraId="6BA91F47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4</w:t>
            </w:r>
          </w:p>
        </w:tc>
        <w:tc>
          <w:tcPr>
            <w:tcW w:w="1450" w:type="pct"/>
          </w:tcPr>
          <w:p w14:paraId="75C3933B" w14:textId="6374A014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Pago no autorizado por Bono Sexenal</w:t>
            </w:r>
          </w:p>
        </w:tc>
        <w:tc>
          <w:tcPr>
            <w:tcW w:w="1523" w:type="pct"/>
          </w:tcPr>
          <w:p w14:paraId="341A074F" w14:textId="57A14ADB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erogaciones.</w:t>
            </w:r>
          </w:p>
        </w:tc>
        <w:tc>
          <w:tcPr>
            <w:tcW w:w="1087" w:type="pct"/>
          </w:tcPr>
          <w:p w14:paraId="659734A5" w14:textId="64E8E1E3" w:rsidR="00641911" w:rsidRPr="00687280" w:rsidRDefault="00982149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s-MX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</w:rPr>
              <w:t>$</w:t>
            </w:r>
            <w:r w:rsidR="00641911" w:rsidRPr="00687280">
              <w:rPr>
                <w:rFonts w:ascii="Arial" w:hAnsi="Arial" w:cs="Arial"/>
                <w:bCs/>
                <w:sz w:val="19"/>
                <w:szCs w:val="19"/>
              </w:rPr>
              <w:t>330,000.00</w:t>
            </w:r>
          </w:p>
          <w:p w14:paraId="2A63D9E5" w14:textId="77777777" w:rsidR="00982149" w:rsidRPr="00687280" w:rsidRDefault="00982149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Solventado</w:t>
            </w:r>
          </w:p>
          <w:p w14:paraId="74CB7AB3" w14:textId="09D42388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</w:p>
        </w:tc>
      </w:tr>
      <w:tr w:rsidR="00641911" w:rsidRPr="00687280" w14:paraId="0EB9B8E9" w14:textId="77777777" w:rsidTr="00641911">
        <w:tc>
          <w:tcPr>
            <w:tcW w:w="940" w:type="pct"/>
          </w:tcPr>
          <w:p w14:paraId="53F662B7" w14:textId="3E9A38AF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3</w:t>
            </w:r>
          </w:p>
          <w:p w14:paraId="2E35EA49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5</w:t>
            </w:r>
          </w:p>
        </w:tc>
        <w:tc>
          <w:tcPr>
            <w:tcW w:w="1450" w:type="pct"/>
          </w:tcPr>
          <w:p w14:paraId="26813AB7" w14:textId="136F5799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Diferencias en registros contables/presupuestales y la base de datos de nómina</w:t>
            </w:r>
          </w:p>
        </w:tc>
        <w:tc>
          <w:tcPr>
            <w:tcW w:w="1523" w:type="pct"/>
          </w:tcPr>
          <w:p w14:paraId="5C6153B8" w14:textId="67BDA038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(3O) Diferencias de registros contra Cuenta Pública</w:t>
            </w:r>
          </w:p>
        </w:tc>
        <w:tc>
          <w:tcPr>
            <w:tcW w:w="1087" w:type="pct"/>
          </w:tcPr>
          <w:p w14:paraId="1CD59B7A" w14:textId="77777777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s-MX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</w:rPr>
              <w:t>11,100.41</w:t>
            </w:r>
          </w:p>
          <w:p w14:paraId="49BA64CC" w14:textId="611624D4" w:rsidR="00641911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S</w:t>
            </w:r>
            <w:r w:rsidR="00982149" w:rsidRPr="00687280">
              <w:rPr>
                <w:rFonts w:ascii="Arial" w:hAnsi="Arial" w:cs="Arial"/>
                <w:sz w:val="19"/>
                <w:szCs w:val="19"/>
                <w:lang w:eastAsia="en-US"/>
              </w:rPr>
              <w:t xml:space="preserve">olventado </w:t>
            </w:r>
          </w:p>
        </w:tc>
      </w:tr>
      <w:tr w:rsidR="00641911" w:rsidRPr="00687280" w14:paraId="3CC00B0C" w14:textId="77777777" w:rsidTr="00641911">
        <w:trPr>
          <w:trHeight w:val="995"/>
        </w:trPr>
        <w:tc>
          <w:tcPr>
            <w:tcW w:w="940" w:type="pct"/>
          </w:tcPr>
          <w:p w14:paraId="535CE96E" w14:textId="77777777" w:rsidR="00982149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4</w:t>
            </w:r>
          </w:p>
          <w:p w14:paraId="05F76B1C" w14:textId="0FABF82F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6</w:t>
            </w:r>
          </w:p>
        </w:tc>
        <w:tc>
          <w:tcPr>
            <w:tcW w:w="1450" w:type="pct"/>
          </w:tcPr>
          <w:p w14:paraId="2107604A" w14:textId="5D43E601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Pagos extraordinarios de energía eléctrica de ejercicios anteriores sin soporte documental</w:t>
            </w:r>
          </w:p>
        </w:tc>
        <w:tc>
          <w:tcPr>
            <w:tcW w:w="1523" w:type="pct"/>
          </w:tcPr>
          <w:p w14:paraId="3305B48D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(1C) Falta de autorización o justificación de las erogaciones</w:t>
            </w:r>
            <w:r w:rsidRPr="00687280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087" w:type="pct"/>
          </w:tcPr>
          <w:p w14:paraId="7CEC4B81" w14:textId="77777777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$404,126.00</w:t>
            </w:r>
          </w:p>
          <w:p w14:paraId="10197C3E" w14:textId="3801A95B" w:rsidR="00641911" w:rsidRPr="00687280" w:rsidRDefault="00982149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No solventado Solicitud de Aclaración</w:t>
            </w:r>
          </w:p>
        </w:tc>
      </w:tr>
      <w:tr w:rsidR="00641911" w:rsidRPr="00687280" w14:paraId="7DA1EFCB" w14:textId="77777777" w:rsidTr="00641911">
        <w:tc>
          <w:tcPr>
            <w:tcW w:w="940" w:type="pct"/>
          </w:tcPr>
          <w:p w14:paraId="3ED26A5D" w14:textId="77777777" w:rsidR="00982149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5</w:t>
            </w:r>
          </w:p>
          <w:p w14:paraId="2E74B1DD" w14:textId="584DE18B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7</w:t>
            </w:r>
          </w:p>
        </w:tc>
        <w:tc>
          <w:tcPr>
            <w:tcW w:w="1450" w:type="pct"/>
          </w:tcPr>
          <w:p w14:paraId="79E9D070" w14:textId="15F740A3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Inconsistencias en Comprobantes Fiscales Digit</w:t>
            </w:r>
            <w:r w:rsidR="006A1385" w:rsidRPr="00687280">
              <w:rPr>
                <w:rFonts w:ascii="Arial" w:hAnsi="Arial" w:cs="Arial"/>
                <w:sz w:val="19"/>
                <w:szCs w:val="19"/>
              </w:rPr>
              <w:t>ales por servicio de energía elé</w:t>
            </w:r>
            <w:r w:rsidRPr="00687280">
              <w:rPr>
                <w:rFonts w:ascii="Arial" w:hAnsi="Arial" w:cs="Arial"/>
                <w:sz w:val="19"/>
                <w:szCs w:val="19"/>
              </w:rPr>
              <w:t>ctrica</w:t>
            </w:r>
          </w:p>
        </w:tc>
        <w:tc>
          <w:tcPr>
            <w:tcW w:w="1523" w:type="pct"/>
          </w:tcPr>
          <w:p w14:paraId="6414DFC5" w14:textId="3D8DB469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(1B) Falta de documentación comprobatoria de las erogaciones o que no reúne requisitos fiscales</w:t>
            </w:r>
          </w:p>
        </w:tc>
        <w:tc>
          <w:tcPr>
            <w:tcW w:w="1087" w:type="pct"/>
          </w:tcPr>
          <w:p w14:paraId="0FD96448" w14:textId="77777777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  <w:lang w:eastAsia="es-MX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$1,216,707.00</w:t>
            </w:r>
          </w:p>
          <w:p w14:paraId="01ADF4FD" w14:textId="0C619FEF" w:rsidR="0044255E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S</w:t>
            </w:r>
            <w:r w:rsidR="00982149" w:rsidRPr="00687280">
              <w:rPr>
                <w:rFonts w:ascii="Arial" w:hAnsi="Arial" w:cs="Arial"/>
                <w:sz w:val="19"/>
                <w:szCs w:val="19"/>
                <w:lang w:eastAsia="en-US"/>
              </w:rPr>
              <w:t xml:space="preserve">olventado </w:t>
            </w: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Parcialmente $495,494.00</w:t>
            </w:r>
          </w:p>
          <w:p w14:paraId="559F761D" w14:textId="77777777" w:rsidR="00641911" w:rsidRPr="00687280" w:rsidRDefault="00982149" w:rsidP="00687280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Solicitud de Aclaración</w:t>
            </w:r>
          </w:p>
          <w:p w14:paraId="21E8DE39" w14:textId="04125FF7" w:rsidR="0044255E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por $721,213.00</w:t>
            </w:r>
          </w:p>
        </w:tc>
      </w:tr>
      <w:tr w:rsidR="00641911" w:rsidRPr="00687280" w14:paraId="4A10B0AC" w14:textId="77777777" w:rsidTr="00641911">
        <w:trPr>
          <w:trHeight w:val="1125"/>
        </w:trPr>
        <w:tc>
          <w:tcPr>
            <w:tcW w:w="940" w:type="pct"/>
          </w:tcPr>
          <w:p w14:paraId="48793CB3" w14:textId="7827138A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6</w:t>
            </w:r>
          </w:p>
          <w:p w14:paraId="6E1A85E7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8</w:t>
            </w:r>
          </w:p>
        </w:tc>
        <w:tc>
          <w:tcPr>
            <w:tcW w:w="1450" w:type="pct"/>
          </w:tcPr>
          <w:p w14:paraId="4B575227" w14:textId="529F4542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 xml:space="preserve">Incumplimiento a los Lineamientos para regular el otorgamiento de viáticos </w:t>
            </w:r>
          </w:p>
        </w:tc>
        <w:tc>
          <w:tcPr>
            <w:tcW w:w="1523" w:type="pct"/>
          </w:tcPr>
          <w:p w14:paraId="06A4B026" w14:textId="4CC7F14A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 xml:space="preserve">(2A) </w:t>
            </w: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Pagos</w:t>
            </w: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 xml:space="preserve"> improcedentes o en exceso</w:t>
            </w:r>
          </w:p>
        </w:tc>
        <w:tc>
          <w:tcPr>
            <w:tcW w:w="1087" w:type="pct"/>
          </w:tcPr>
          <w:p w14:paraId="39E67B7B" w14:textId="16DE9C8B" w:rsidR="00641911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</w:t>
            </w:r>
            <w:r w:rsidR="00982149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olventad</w:t>
            </w: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  <w:p w14:paraId="77065C52" w14:textId="300E659E" w:rsidR="00982149" w:rsidRPr="00687280" w:rsidRDefault="00982149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</w:p>
        </w:tc>
      </w:tr>
      <w:tr w:rsidR="00641911" w:rsidRPr="00687280" w14:paraId="79132AB3" w14:textId="77777777" w:rsidTr="00641911">
        <w:trPr>
          <w:trHeight w:val="712"/>
        </w:trPr>
        <w:tc>
          <w:tcPr>
            <w:tcW w:w="940" w:type="pct"/>
          </w:tcPr>
          <w:p w14:paraId="7D568C20" w14:textId="4D254FB1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7</w:t>
            </w:r>
          </w:p>
          <w:p w14:paraId="7C4A9910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9</w:t>
            </w:r>
          </w:p>
        </w:tc>
        <w:tc>
          <w:tcPr>
            <w:tcW w:w="1450" w:type="pct"/>
          </w:tcPr>
          <w:p w14:paraId="095C19B0" w14:textId="1CE8B7C1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Ausencia de soporte documental comprobatorio y justificativo</w:t>
            </w:r>
          </w:p>
        </w:tc>
        <w:tc>
          <w:tcPr>
            <w:tcW w:w="1523" w:type="pct"/>
          </w:tcPr>
          <w:p w14:paraId="4266ED61" w14:textId="5E11D696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(1B) Falta de documentación comprobatoria de las erogaciones o que no reúne los requisitos fiscales</w:t>
            </w:r>
          </w:p>
        </w:tc>
        <w:tc>
          <w:tcPr>
            <w:tcW w:w="1087" w:type="pct"/>
          </w:tcPr>
          <w:p w14:paraId="01AD86A5" w14:textId="35036CA6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Solventado</w:t>
            </w:r>
          </w:p>
        </w:tc>
      </w:tr>
      <w:tr w:rsidR="00641911" w:rsidRPr="00687280" w14:paraId="7D69B352" w14:textId="77777777" w:rsidTr="00687280">
        <w:trPr>
          <w:trHeight w:val="952"/>
        </w:trPr>
        <w:tc>
          <w:tcPr>
            <w:tcW w:w="940" w:type="pct"/>
          </w:tcPr>
          <w:p w14:paraId="6F5A0F29" w14:textId="20FD0A58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lastRenderedPageBreak/>
              <w:t>Resultado: 8</w:t>
            </w:r>
          </w:p>
          <w:p w14:paraId="6D048BA8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10</w:t>
            </w:r>
          </w:p>
        </w:tc>
        <w:tc>
          <w:tcPr>
            <w:tcW w:w="1450" w:type="pct"/>
          </w:tcPr>
          <w:p w14:paraId="48BBA399" w14:textId="5ED9E07E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Expedientes de personal incompletos conforme a la normatividad</w:t>
            </w:r>
          </w:p>
        </w:tc>
        <w:tc>
          <w:tcPr>
            <w:tcW w:w="1523" w:type="pct"/>
          </w:tcPr>
          <w:p w14:paraId="072D9CF4" w14:textId="65BD3AB2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(5C) Inadecuada integración, control y resguardo de expedientes</w:t>
            </w:r>
          </w:p>
        </w:tc>
        <w:tc>
          <w:tcPr>
            <w:tcW w:w="1087" w:type="pct"/>
          </w:tcPr>
          <w:p w14:paraId="5AB04824" w14:textId="56EDCBE7" w:rsidR="00195E80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solventado</w:t>
            </w:r>
          </w:p>
          <w:p w14:paraId="7BEAE540" w14:textId="37CC742E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  <w:r w:rsidR="00641911" w:rsidRPr="00687280">
              <w:rPr>
                <w:rFonts w:ascii="Arial" w:hAnsi="Arial" w:cs="Arial"/>
                <w:b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641911" w:rsidRPr="00687280" w14:paraId="3AD6FF78" w14:textId="77777777" w:rsidTr="00641911">
        <w:trPr>
          <w:trHeight w:val="195"/>
        </w:trPr>
        <w:tc>
          <w:tcPr>
            <w:tcW w:w="940" w:type="pct"/>
          </w:tcPr>
          <w:p w14:paraId="5B11405B" w14:textId="3405511A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9</w:t>
            </w:r>
          </w:p>
          <w:p w14:paraId="3FDECEBB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11</w:t>
            </w:r>
          </w:p>
        </w:tc>
        <w:tc>
          <w:tcPr>
            <w:tcW w:w="1450" w:type="pct"/>
          </w:tcPr>
          <w:p w14:paraId="603D1D70" w14:textId="640A464B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Viáticos devengados no pagados en el ejercicio en revisión</w:t>
            </w:r>
          </w:p>
        </w:tc>
        <w:tc>
          <w:tcPr>
            <w:tcW w:w="1523" w:type="pct"/>
          </w:tcPr>
          <w:p w14:paraId="2C754A4B" w14:textId="737BD130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(1G) Omisión de pago de pasivos</w:t>
            </w:r>
          </w:p>
        </w:tc>
        <w:tc>
          <w:tcPr>
            <w:tcW w:w="1087" w:type="pct"/>
          </w:tcPr>
          <w:p w14:paraId="35DB128F" w14:textId="618EA3CC" w:rsidR="00195E80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solventado</w:t>
            </w:r>
          </w:p>
          <w:p w14:paraId="2AAFF1AB" w14:textId="3063BD56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13677DB5" w14:textId="77777777" w:rsidTr="00641911">
        <w:tc>
          <w:tcPr>
            <w:tcW w:w="940" w:type="pct"/>
          </w:tcPr>
          <w:p w14:paraId="651369F8" w14:textId="36E78DB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</w:t>
            </w:r>
            <w:r w:rsidR="00982149" w:rsidRPr="00687280">
              <w:rPr>
                <w:rFonts w:ascii="Arial" w:hAnsi="Arial" w:cs="Arial"/>
                <w:sz w:val="19"/>
                <w:szCs w:val="19"/>
                <w:lang w:eastAsia="en-US"/>
              </w:rPr>
              <w:t>ultado: 10</w:t>
            </w:r>
          </w:p>
          <w:p w14:paraId="34D544F5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12</w:t>
            </w:r>
          </w:p>
        </w:tc>
        <w:tc>
          <w:tcPr>
            <w:tcW w:w="1450" w:type="pct"/>
          </w:tcPr>
          <w:p w14:paraId="0099D6A3" w14:textId="4D9187C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Expedientes incompletos del control, uso y resguardo del equipo de transporte</w:t>
            </w:r>
          </w:p>
        </w:tc>
        <w:tc>
          <w:tcPr>
            <w:tcW w:w="1523" w:type="pct"/>
          </w:tcPr>
          <w:p w14:paraId="323066B2" w14:textId="39992533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(5C) Inadecuada integración, control y resguardo de expedientes</w:t>
            </w:r>
          </w:p>
        </w:tc>
        <w:tc>
          <w:tcPr>
            <w:tcW w:w="1087" w:type="pct"/>
          </w:tcPr>
          <w:p w14:paraId="0BD7B012" w14:textId="36930049" w:rsidR="00195E80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Solventado</w:t>
            </w:r>
          </w:p>
          <w:p w14:paraId="05E092AC" w14:textId="090950C1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641911" w:rsidRPr="00687280" w14:paraId="54D35364" w14:textId="77777777" w:rsidTr="00641911">
        <w:tc>
          <w:tcPr>
            <w:tcW w:w="940" w:type="pct"/>
          </w:tcPr>
          <w:p w14:paraId="044E40D7" w14:textId="2F4C48D3" w:rsidR="00641911" w:rsidRPr="00687280" w:rsidRDefault="00982149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11</w:t>
            </w:r>
          </w:p>
          <w:p w14:paraId="491A3D27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13</w:t>
            </w:r>
          </w:p>
        </w:tc>
        <w:tc>
          <w:tcPr>
            <w:tcW w:w="1450" w:type="pct"/>
          </w:tcPr>
          <w:p w14:paraId="0EA8D67A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Falta o insuficiencia de documentación requerida en la Solicitud de Información Adicional</w:t>
            </w:r>
            <w:r w:rsidRPr="00687280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1523" w:type="pct"/>
          </w:tcPr>
          <w:p w14:paraId="7E38C542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 xml:space="preserve">(4C) Omisiones o inconsistencias en la presentación de información financiera </w:t>
            </w:r>
          </w:p>
        </w:tc>
        <w:tc>
          <w:tcPr>
            <w:tcW w:w="1087" w:type="pct"/>
          </w:tcPr>
          <w:p w14:paraId="54687994" w14:textId="3426BB34" w:rsidR="00195E80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solventado</w:t>
            </w:r>
          </w:p>
          <w:p w14:paraId="62F464FE" w14:textId="470CF75C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25741B1F" w14:textId="77777777" w:rsidTr="00641911">
        <w:trPr>
          <w:trHeight w:val="960"/>
        </w:trPr>
        <w:tc>
          <w:tcPr>
            <w:tcW w:w="940" w:type="pct"/>
          </w:tcPr>
          <w:p w14:paraId="4A330B7A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12</w:t>
            </w:r>
          </w:p>
          <w:p w14:paraId="234C3398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14</w:t>
            </w:r>
          </w:p>
        </w:tc>
        <w:tc>
          <w:tcPr>
            <w:tcW w:w="1450" w:type="pct"/>
          </w:tcPr>
          <w:p w14:paraId="43569C2B" w14:textId="0C3FB69B" w:rsidR="00641911" w:rsidRPr="00687280" w:rsidRDefault="006A1385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Inadecuado r</w:t>
            </w:r>
            <w:r w:rsidR="00641911" w:rsidRPr="00687280">
              <w:rPr>
                <w:rFonts w:ascii="Arial" w:hAnsi="Arial" w:cs="Arial"/>
                <w:sz w:val="19"/>
                <w:szCs w:val="19"/>
              </w:rPr>
              <w:t>esguardo de parque vehicular</w:t>
            </w:r>
          </w:p>
        </w:tc>
        <w:tc>
          <w:tcPr>
            <w:tcW w:w="1523" w:type="pct"/>
          </w:tcPr>
          <w:p w14:paraId="0301D4F3" w14:textId="6AC51BC8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(5F) Inexistencia o deficiente control en la recepción, manejo y custodia de bienes muebles, inmuebles e intangibles</w:t>
            </w:r>
          </w:p>
        </w:tc>
        <w:tc>
          <w:tcPr>
            <w:tcW w:w="1087" w:type="pct"/>
          </w:tcPr>
          <w:p w14:paraId="78530F05" w14:textId="6B3038A6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Solventad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</w:tc>
      </w:tr>
      <w:tr w:rsidR="00641911" w:rsidRPr="00687280" w14:paraId="7DFEC20C" w14:textId="77777777" w:rsidTr="00641911">
        <w:trPr>
          <w:trHeight w:val="846"/>
        </w:trPr>
        <w:tc>
          <w:tcPr>
            <w:tcW w:w="940" w:type="pct"/>
          </w:tcPr>
          <w:p w14:paraId="724138D2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13</w:t>
            </w:r>
          </w:p>
          <w:p w14:paraId="4B2DB1D8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15</w:t>
            </w:r>
          </w:p>
        </w:tc>
        <w:tc>
          <w:tcPr>
            <w:tcW w:w="1450" w:type="pct"/>
          </w:tcPr>
          <w:p w14:paraId="330C987E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Incorrecta aplicación de los montos máximos de las adquisiciones, arrendamientos y prestación de servicios</w:t>
            </w:r>
          </w:p>
        </w:tc>
        <w:tc>
          <w:tcPr>
            <w:tcW w:w="1523" w:type="pct"/>
          </w:tcPr>
          <w:p w14:paraId="0542D844" w14:textId="330C9223" w:rsidR="00641911" w:rsidRPr="00687280" w:rsidRDefault="005576BD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(3F</w:t>
            </w:r>
            <w:r w:rsidR="00641911" w:rsidRPr="00687280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Pr="00687280">
              <w:rPr>
                <w:rFonts w:ascii="Arial" w:hAnsi="Arial" w:cs="Arial"/>
                <w:sz w:val="19"/>
                <w:szCs w:val="19"/>
              </w:rPr>
              <w:t>Deficiencias en el procedimiento de adquisición o adjudicaciones fuera de norma</w:t>
            </w:r>
          </w:p>
        </w:tc>
        <w:tc>
          <w:tcPr>
            <w:tcW w:w="1087" w:type="pct"/>
          </w:tcPr>
          <w:p w14:paraId="4DCC4620" w14:textId="7E493B73" w:rsidR="00195E80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solventado</w:t>
            </w:r>
          </w:p>
          <w:p w14:paraId="706F6EE9" w14:textId="30AB0BD3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4AF739B8" w14:textId="77777777" w:rsidTr="00641911">
        <w:tc>
          <w:tcPr>
            <w:tcW w:w="940" w:type="pct"/>
          </w:tcPr>
          <w:p w14:paraId="31674BA8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14</w:t>
            </w:r>
          </w:p>
          <w:p w14:paraId="62CE4B43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16</w:t>
            </w:r>
          </w:p>
        </w:tc>
        <w:tc>
          <w:tcPr>
            <w:tcW w:w="1450" w:type="pct"/>
          </w:tcPr>
          <w:p w14:paraId="1F2A4460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Falta de controles internos en la integración de expedientes unitarios</w:t>
            </w:r>
          </w:p>
        </w:tc>
        <w:tc>
          <w:tcPr>
            <w:tcW w:w="1523" w:type="pct"/>
          </w:tcPr>
          <w:p w14:paraId="630E5F8E" w14:textId="5D2DA06D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(5C) Inadecuada integración, control y resguardo de expedientes</w:t>
            </w:r>
          </w:p>
        </w:tc>
        <w:tc>
          <w:tcPr>
            <w:tcW w:w="1087" w:type="pct"/>
          </w:tcPr>
          <w:p w14:paraId="1AC79981" w14:textId="6DAF5BCC" w:rsidR="00195E80" w:rsidRPr="00687280" w:rsidRDefault="00AD6FE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olventado</w:t>
            </w:r>
          </w:p>
          <w:p w14:paraId="3974A553" w14:textId="698E5B15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</w:p>
        </w:tc>
      </w:tr>
      <w:tr w:rsidR="00641911" w:rsidRPr="00687280" w14:paraId="3F7B686D" w14:textId="77777777" w:rsidTr="00641911">
        <w:tc>
          <w:tcPr>
            <w:tcW w:w="940" w:type="pct"/>
          </w:tcPr>
          <w:p w14:paraId="096E1626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15</w:t>
            </w:r>
          </w:p>
          <w:p w14:paraId="5F545C29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17</w:t>
            </w:r>
          </w:p>
        </w:tc>
        <w:tc>
          <w:tcPr>
            <w:tcW w:w="1450" w:type="pct"/>
          </w:tcPr>
          <w:p w14:paraId="42607F1D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Diferencias en los estados presupuestales y registros contables</w:t>
            </w:r>
          </w:p>
        </w:tc>
        <w:tc>
          <w:tcPr>
            <w:tcW w:w="1523" w:type="pct"/>
          </w:tcPr>
          <w:p w14:paraId="0AF95CCC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(4C) Omisiones o inconsistencias en la presentación de información financiera</w:t>
            </w:r>
          </w:p>
        </w:tc>
        <w:tc>
          <w:tcPr>
            <w:tcW w:w="1087" w:type="pct"/>
          </w:tcPr>
          <w:p w14:paraId="5E9FAA80" w14:textId="53C5EB89" w:rsidR="00195E80" w:rsidRPr="00687280" w:rsidRDefault="0044255E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Solventado</w:t>
            </w:r>
          </w:p>
          <w:p w14:paraId="1B69A8BF" w14:textId="7202D780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</w:p>
        </w:tc>
      </w:tr>
      <w:tr w:rsidR="00641911" w:rsidRPr="00687280" w14:paraId="12EFC65C" w14:textId="77777777" w:rsidTr="00641911">
        <w:trPr>
          <w:trHeight w:val="365"/>
        </w:trPr>
        <w:tc>
          <w:tcPr>
            <w:tcW w:w="940" w:type="pct"/>
          </w:tcPr>
          <w:p w14:paraId="7C61EA8C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16</w:t>
            </w:r>
          </w:p>
          <w:p w14:paraId="536FEB9A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18</w:t>
            </w:r>
          </w:p>
        </w:tc>
        <w:tc>
          <w:tcPr>
            <w:tcW w:w="1450" w:type="pct"/>
          </w:tcPr>
          <w:p w14:paraId="47766DA7" w14:textId="540A2AC3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Contrato en comodato de vehículo vencido</w:t>
            </w:r>
          </w:p>
        </w:tc>
        <w:tc>
          <w:tcPr>
            <w:tcW w:w="1523" w:type="pct"/>
          </w:tcPr>
          <w:p w14:paraId="25598174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 xml:space="preserve">(5F) Inexistencia o deficiente control en la recepción, manejo y </w:t>
            </w:r>
            <w:r w:rsidRPr="00687280">
              <w:rPr>
                <w:rFonts w:ascii="Arial" w:hAnsi="Arial" w:cs="Arial"/>
                <w:sz w:val="19"/>
                <w:szCs w:val="19"/>
              </w:rPr>
              <w:lastRenderedPageBreak/>
              <w:t>custodia de bienes muebles, inmuebles e intangibles</w:t>
            </w:r>
          </w:p>
        </w:tc>
        <w:tc>
          <w:tcPr>
            <w:tcW w:w="1087" w:type="pct"/>
          </w:tcPr>
          <w:p w14:paraId="0FA6B062" w14:textId="17E5447D" w:rsidR="00195E80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lastRenderedPageBreak/>
              <w:t>No solventad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  <w:p w14:paraId="75C7F430" w14:textId="08C9587A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2E6D93E8" w14:textId="77777777" w:rsidTr="00641911">
        <w:trPr>
          <w:trHeight w:val="582"/>
        </w:trPr>
        <w:tc>
          <w:tcPr>
            <w:tcW w:w="940" w:type="pct"/>
          </w:tcPr>
          <w:p w14:paraId="139960B6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17</w:t>
            </w:r>
          </w:p>
          <w:p w14:paraId="7E1FDCD0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19</w:t>
            </w:r>
          </w:p>
        </w:tc>
        <w:tc>
          <w:tcPr>
            <w:tcW w:w="1450" w:type="pct"/>
          </w:tcPr>
          <w:p w14:paraId="27670855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Adquisiciones que no cumplen con lo establecido en la normatividad respectiva</w:t>
            </w:r>
          </w:p>
        </w:tc>
        <w:tc>
          <w:tcPr>
            <w:tcW w:w="1523" w:type="pct"/>
          </w:tcPr>
          <w:p w14:paraId="36B76698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(1C) Falta de autorización o justificación de las erogaciones</w:t>
            </w:r>
          </w:p>
        </w:tc>
        <w:tc>
          <w:tcPr>
            <w:tcW w:w="1087" w:type="pct"/>
          </w:tcPr>
          <w:p w14:paraId="628EDCBD" w14:textId="1175C157" w:rsidR="00195E80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No solventad</w:t>
            </w:r>
            <w:r w:rsidR="0044255E" w:rsidRPr="00687280">
              <w:rPr>
                <w:rFonts w:ascii="Arial" w:hAnsi="Arial" w:cs="Arial"/>
                <w:sz w:val="19"/>
                <w:szCs w:val="19"/>
              </w:rPr>
              <w:t>o</w:t>
            </w:r>
          </w:p>
          <w:p w14:paraId="332BB28D" w14:textId="199C40E6" w:rsidR="00641911" w:rsidRPr="00687280" w:rsidRDefault="00A02588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Solicitud de Aclaración</w:t>
            </w:r>
          </w:p>
        </w:tc>
      </w:tr>
      <w:tr w:rsidR="00641911" w:rsidRPr="00687280" w14:paraId="2BBB83C9" w14:textId="77777777" w:rsidTr="00641911">
        <w:trPr>
          <w:trHeight w:val="854"/>
        </w:trPr>
        <w:tc>
          <w:tcPr>
            <w:tcW w:w="940" w:type="pct"/>
          </w:tcPr>
          <w:p w14:paraId="3CCFE61A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18</w:t>
            </w:r>
          </w:p>
          <w:p w14:paraId="0EBB3D7A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20</w:t>
            </w:r>
          </w:p>
        </w:tc>
        <w:tc>
          <w:tcPr>
            <w:tcW w:w="1450" w:type="pct"/>
          </w:tcPr>
          <w:p w14:paraId="6160D942" w14:textId="534930A4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Análisis de antigüedad de saldos de la cuenta derechos a recibir efectivo o equivalentes de ejercicios anteriores</w:t>
            </w:r>
          </w:p>
        </w:tc>
        <w:tc>
          <w:tcPr>
            <w:tcW w:w="1523" w:type="pct"/>
          </w:tcPr>
          <w:p w14:paraId="32654370" w14:textId="72263FFE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1087" w:type="pct"/>
          </w:tcPr>
          <w:p w14:paraId="4A4DDD9D" w14:textId="33EC40C7" w:rsidR="00195E80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  <w:p w14:paraId="71D8F853" w14:textId="283BA6BB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4CEE4FB9" w14:textId="77777777" w:rsidTr="00641911">
        <w:tc>
          <w:tcPr>
            <w:tcW w:w="940" w:type="pct"/>
          </w:tcPr>
          <w:p w14:paraId="53BB84C5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18</w:t>
            </w:r>
          </w:p>
          <w:p w14:paraId="5BE14FBC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21</w:t>
            </w:r>
          </w:p>
        </w:tc>
        <w:tc>
          <w:tcPr>
            <w:tcW w:w="1450" w:type="pct"/>
          </w:tcPr>
          <w:p w14:paraId="7B708CE2" w14:textId="40754DCB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Análisis de antigüedad de saldos de la cuenta derechos a recibir efectivo o equivalentes de ejercicios anteriores</w:t>
            </w:r>
          </w:p>
        </w:tc>
        <w:tc>
          <w:tcPr>
            <w:tcW w:w="1523" w:type="pct"/>
          </w:tcPr>
          <w:p w14:paraId="680F0599" w14:textId="0F5813DA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1087" w:type="pct"/>
          </w:tcPr>
          <w:p w14:paraId="4DD2B2BE" w14:textId="093AF5C7" w:rsidR="00195E80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  <w:p w14:paraId="23569DBE" w14:textId="14E6ED50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7DE6DA11" w14:textId="77777777" w:rsidTr="00641911">
        <w:tc>
          <w:tcPr>
            <w:tcW w:w="940" w:type="pct"/>
          </w:tcPr>
          <w:p w14:paraId="6D7553E8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19</w:t>
            </w:r>
          </w:p>
          <w:p w14:paraId="4920D41B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22</w:t>
            </w:r>
          </w:p>
        </w:tc>
        <w:tc>
          <w:tcPr>
            <w:tcW w:w="1450" w:type="pct"/>
          </w:tcPr>
          <w:p w14:paraId="463DCF38" w14:textId="6F6E755A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Análisis de antigüedad de saldos de cuentas por pagar a corto plazo de ejercicios anteriores</w:t>
            </w:r>
          </w:p>
        </w:tc>
        <w:tc>
          <w:tcPr>
            <w:tcW w:w="1523" w:type="pct"/>
          </w:tcPr>
          <w:p w14:paraId="4FB94802" w14:textId="5729A551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(4E) Cuentas por pagar de ejercicios anteriores</w:t>
            </w:r>
          </w:p>
        </w:tc>
        <w:tc>
          <w:tcPr>
            <w:tcW w:w="1087" w:type="pct"/>
          </w:tcPr>
          <w:p w14:paraId="0FB77148" w14:textId="39C8B5D1" w:rsidR="00195E80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  <w:p w14:paraId="120C535D" w14:textId="0B819E1E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6D3D70BF" w14:textId="77777777" w:rsidTr="00641911">
        <w:tc>
          <w:tcPr>
            <w:tcW w:w="940" w:type="pct"/>
          </w:tcPr>
          <w:p w14:paraId="1C48C2BA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20</w:t>
            </w:r>
          </w:p>
          <w:p w14:paraId="2E63197C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23</w:t>
            </w:r>
          </w:p>
        </w:tc>
        <w:tc>
          <w:tcPr>
            <w:tcW w:w="1450" w:type="pct"/>
          </w:tcPr>
          <w:p w14:paraId="2AD58191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Deficiencias en la implementación del Sistema de Control Interno</w:t>
            </w:r>
          </w:p>
        </w:tc>
        <w:tc>
          <w:tcPr>
            <w:tcW w:w="1523" w:type="pct"/>
          </w:tcPr>
          <w:p w14:paraId="5BD85125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(3S) Incumplimiento en programas, convenios, contratos y/o acuerdos</w:t>
            </w:r>
          </w:p>
        </w:tc>
        <w:tc>
          <w:tcPr>
            <w:tcW w:w="1087" w:type="pct"/>
          </w:tcPr>
          <w:p w14:paraId="1251E254" w14:textId="6F5B7647" w:rsidR="00195E80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  <w:p w14:paraId="14ADDE7F" w14:textId="6A646CD5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17E3F354" w14:textId="77777777" w:rsidTr="00641911">
        <w:tc>
          <w:tcPr>
            <w:tcW w:w="940" w:type="pct"/>
          </w:tcPr>
          <w:p w14:paraId="691B3B95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21</w:t>
            </w:r>
          </w:p>
          <w:p w14:paraId="54C9A80E" w14:textId="77777777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24</w:t>
            </w:r>
          </w:p>
        </w:tc>
        <w:tc>
          <w:tcPr>
            <w:tcW w:w="1450" w:type="pct"/>
          </w:tcPr>
          <w:p w14:paraId="76C11B68" w14:textId="1AC05D9C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Falta de implementació</w:t>
            </w:r>
            <w:r w:rsidR="006A1385" w:rsidRPr="00687280">
              <w:rPr>
                <w:rFonts w:ascii="Arial" w:hAnsi="Arial" w:cs="Arial"/>
                <w:sz w:val="19"/>
                <w:szCs w:val="19"/>
              </w:rPr>
              <w:t>n del Sistema Institucional de A</w:t>
            </w:r>
            <w:r w:rsidRPr="00687280">
              <w:rPr>
                <w:rFonts w:ascii="Arial" w:hAnsi="Arial" w:cs="Arial"/>
                <w:sz w:val="19"/>
                <w:szCs w:val="19"/>
              </w:rPr>
              <w:t>rchivos</w:t>
            </w:r>
          </w:p>
        </w:tc>
        <w:tc>
          <w:tcPr>
            <w:tcW w:w="1523" w:type="pct"/>
          </w:tcPr>
          <w:p w14:paraId="2711BFC8" w14:textId="7C1F522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(5A) Carencia o desactualización de manuales, normativa interna o disposiciones legales</w:t>
            </w:r>
          </w:p>
        </w:tc>
        <w:tc>
          <w:tcPr>
            <w:tcW w:w="1087" w:type="pct"/>
          </w:tcPr>
          <w:p w14:paraId="52B07F82" w14:textId="04E7DE04" w:rsidR="00195E80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  <w:p w14:paraId="6EF714C0" w14:textId="58187ECF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489E4585" w14:textId="77777777" w:rsidTr="00641911">
        <w:tc>
          <w:tcPr>
            <w:tcW w:w="940" w:type="pct"/>
          </w:tcPr>
          <w:p w14:paraId="0517A02D" w14:textId="61714D8A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Resultado: 22</w:t>
            </w:r>
          </w:p>
          <w:p w14:paraId="1EFA8E72" w14:textId="133C2DCE" w:rsidR="00641911" w:rsidRPr="00687280" w:rsidRDefault="00641911" w:rsidP="00687280">
            <w:pPr>
              <w:spacing w:line="360" w:lineRule="auto"/>
              <w:ind w:left="29"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sz w:val="19"/>
                <w:szCs w:val="19"/>
                <w:lang w:eastAsia="en-US"/>
              </w:rPr>
              <w:t>Observación: 25</w:t>
            </w:r>
          </w:p>
        </w:tc>
        <w:tc>
          <w:tcPr>
            <w:tcW w:w="1450" w:type="pct"/>
          </w:tcPr>
          <w:p w14:paraId="0D377659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Deficiencias en la programación de adquisiciones</w:t>
            </w:r>
          </w:p>
        </w:tc>
        <w:tc>
          <w:tcPr>
            <w:tcW w:w="1523" w:type="pct"/>
          </w:tcPr>
          <w:p w14:paraId="23C3DA06" w14:textId="77777777" w:rsidR="00641911" w:rsidRPr="00687280" w:rsidRDefault="00641911" w:rsidP="00687280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87280">
              <w:rPr>
                <w:rFonts w:ascii="Arial" w:hAnsi="Arial" w:cs="Arial"/>
                <w:sz w:val="19"/>
                <w:szCs w:val="19"/>
              </w:rPr>
              <w:t>(3S) Incumplimiento en programas, convenios, contratos y/o acuerdos</w:t>
            </w:r>
          </w:p>
        </w:tc>
        <w:tc>
          <w:tcPr>
            <w:tcW w:w="1087" w:type="pct"/>
          </w:tcPr>
          <w:p w14:paraId="5FB7E59F" w14:textId="42878C1E" w:rsidR="00195E80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No solventad</w:t>
            </w:r>
            <w:r w:rsidR="0044255E"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o</w:t>
            </w:r>
          </w:p>
          <w:p w14:paraId="2B8FD9AB" w14:textId="5B1572B2" w:rsidR="00641911" w:rsidRPr="00687280" w:rsidRDefault="00195E80" w:rsidP="0068728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Cs/>
                <w:sz w:val="19"/>
                <w:szCs w:val="19"/>
                <w:lang w:eastAsia="en-US"/>
              </w:rPr>
              <w:t>Recomendación</w:t>
            </w:r>
          </w:p>
        </w:tc>
      </w:tr>
      <w:tr w:rsidR="00641911" w:rsidRPr="00687280" w14:paraId="470D3293" w14:textId="77777777" w:rsidTr="00641911">
        <w:tc>
          <w:tcPr>
            <w:tcW w:w="940" w:type="pct"/>
          </w:tcPr>
          <w:p w14:paraId="7ADDD555" w14:textId="77777777" w:rsidR="00641911" w:rsidRPr="00687280" w:rsidRDefault="00641911" w:rsidP="00687280">
            <w:pPr>
              <w:spacing w:line="360" w:lineRule="auto"/>
              <w:ind w:right="32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450" w:type="pct"/>
          </w:tcPr>
          <w:p w14:paraId="2B4E0BCD" w14:textId="77777777" w:rsidR="00641911" w:rsidRPr="00687280" w:rsidRDefault="00641911" w:rsidP="00687280">
            <w:pPr>
              <w:spacing w:line="360" w:lineRule="auto"/>
              <w:jc w:val="left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523" w:type="pct"/>
            <w:vAlign w:val="center"/>
          </w:tcPr>
          <w:p w14:paraId="6C277CEE" w14:textId="77777777" w:rsidR="00641911" w:rsidRPr="00687280" w:rsidRDefault="00641911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Total</w:t>
            </w:r>
          </w:p>
        </w:tc>
        <w:tc>
          <w:tcPr>
            <w:tcW w:w="1087" w:type="pct"/>
            <w:vAlign w:val="center"/>
          </w:tcPr>
          <w:p w14:paraId="41F09EE9" w14:textId="48B8FE1A" w:rsidR="00641911" w:rsidRPr="00687280" w:rsidRDefault="009D156B" w:rsidP="00687280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687280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$</w:t>
            </w:r>
            <w:r w:rsidR="00A02588" w:rsidRPr="00687280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1,961,933.41</w:t>
            </w:r>
          </w:p>
        </w:tc>
      </w:tr>
    </w:tbl>
    <w:p w14:paraId="2DF9FAD9" w14:textId="323F4FC4" w:rsidR="00EF2DAB" w:rsidRDefault="00EF2DAB" w:rsidP="00A623C4">
      <w:pPr>
        <w:spacing w:line="360" w:lineRule="auto"/>
        <w:ind w:right="141"/>
        <w:jc w:val="both"/>
        <w:rPr>
          <w:rFonts w:ascii="Arial" w:hAnsi="Arial" w:cs="Arial"/>
          <w:b/>
        </w:rPr>
      </w:pPr>
    </w:p>
    <w:p w14:paraId="41E3CD8C" w14:textId="1B69EACC" w:rsidR="00DA3846" w:rsidRDefault="00DA3846" w:rsidP="00A623C4">
      <w:pPr>
        <w:spacing w:line="360" w:lineRule="auto"/>
        <w:ind w:right="141"/>
        <w:jc w:val="both"/>
        <w:rPr>
          <w:rFonts w:ascii="Arial" w:hAnsi="Arial" w:cs="Arial"/>
          <w:b/>
        </w:rPr>
      </w:pPr>
    </w:p>
    <w:p w14:paraId="49616016" w14:textId="77777777" w:rsidR="00DA3846" w:rsidRDefault="00DA3846" w:rsidP="00A623C4">
      <w:pPr>
        <w:spacing w:line="360" w:lineRule="auto"/>
        <w:ind w:right="141"/>
        <w:jc w:val="both"/>
        <w:rPr>
          <w:rFonts w:ascii="Arial" w:hAnsi="Arial" w:cs="Arial"/>
          <w:b/>
        </w:rPr>
      </w:pPr>
    </w:p>
    <w:p w14:paraId="3D716F4E" w14:textId="77777777" w:rsidR="00687280" w:rsidRPr="00EF2DAB" w:rsidRDefault="00687280" w:rsidP="00687280">
      <w:pPr>
        <w:spacing w:line="360" w:lineRule="auto"/>
        <w:ind w:right="141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lastRenderedPageBreak/>
        <w:t xml:space="preserve">B. </w:t>
      </w:r>
      <w:r w:rsidRPr="00EF2DAB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Pr="00EF2DAB">
        <w:rPr>
          <w:rFonts w:ascii="Arial" w:hAnsi="Arial" w:cs="Arial"/>
          <w:b/>
          <w:bCs/>
        </w:rPr>
        <w:t>Solventaciones</w:t>
      </w:r>
      <w:proofErr w:type="spellEnd"/>
      <w:r w:rsidRPr="00EF2DAB">
        <w:rPr>
          <w:rFonts w:ascii="Arial" w:hAnsi="Arial" w:cs="Arial"/>
          <w:b/>
          <w:bCs/>
        </w:rPr>
        <w:t xml:space="preserve"> en Materia Financiera</w:t>
      </w:r>
    </w:p>
    <w:p w14:paraId="43C7DC20" w14:textId="77777777" w:rsidR="00687280" w:rsidRPr="00EF2DAB" w:rsidRDefault="00687280" w:rsidP="00687280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65549AD4" w14:textId="77777777" w:rsidR="00687280" w:rsidRPr="00EF2DAB" w:rsidRDefault="00687280" w:rsidP="00687280">
      <w:pPr>
        <w:spacing w:line="360" w:lineRule="auto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 xml:space="preserve">Durante el proceso de fiscalización, y como resultado de los procedimientos de auditoría, se realizaron observaciones y recomendaciones de las cuales se recibieron </w:t>
      </w:r>
      <w:proofErr w:type="spellStart"/>
      <w:r w:rsidRPr="00EF2DAB">
        <w:rPr>
          <w:rFonts w:ascii="Arial" w:hAnsi="Arial" w:cs="Arial"/>
        </w:rPr>
        <w:t>solventaciones</w:t>
      </w:r>
      <w:proofErr w:type="spellEnd"/>
      <w:r w:rsidRPr="00EF2DAB">
        <w:rPr>
          <w:rFonts w:ascii="Arial" w:hAnsi="Arial" w:cs="Arial"/>
        </w:rPr>
        <w:t xml:space="preserve"> por parte del ente auditado como se detalla en el cuadro siguiente:</w:t>
      </w:r>
    </w:p>
    <w:p w14:paraId="79C4A3BC" w14:textId="77777777" w:rsidR="00687280" w:rsidRPr="00EF2DAB" w:rsidRDefault="00687280" w:rsidP="00687280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559"/>
        <w:gridCol w:w="24"/>
        <w:gridCol w:w="1643"/>
      </w:tblGrid>
      <w:tr w:rsidR="00687280" w:rsidRPr="00EF2DAB" w14:paraId="77D1346B" w14:textId="77777777" w:rsidTr="00687280">
        <w:trPr>
          <w:trHeight w:val="307"/>
          <w:tblHeader/>
          <w:jc w:val="center"/>
        </w:trPr>
        <w:tc>
          <w:tcPr>
            <w:tcW w:w="960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7CA52A5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 xml:space="preserve">Resumen General de Observaciones y </w:t>
            </w:r>
            <w:proofErr w:type="spellStart"/>
            <w:r w:rsidRPr="00EF2DAB">
              <w:rPr>
                <w:rFonts w:ascii="Arial" w:hAnsi="Arial" w:cs="Arial"/>
                <w:b/>
                <w:sz w:val="19"/>
                <w:szCs w:val="19"/>
              </w:rPr>
              <w:t>Solventaciones</w:t>
            </w:r>
            <w:proofErr w:type="spellEnd"/>
            <w:r w:rsidRPr="00EF2DAB">
              <w:rPr>
                <w:rFonts w:ascii="Arial" w:hAnsi="Arial" w:cs="Arial"/>
                <w:b/>
                <w:sz w:val="19"/>
                <w:szCs w:val="19"/>
              </w:rPr>
              <w:t xml:space="preserve"> en Materia Financiera</w:t>
            </w:r>
          </w:p>
        </w:tc>
      </w:tr>
      <w:tr w:rsidR="00687280" w:rsidRPr="00EF2DAB" w14:paraId="7B170335" w14:textId="77777777" w:rsidTr="00687280">
        <w:trPr>
          <w:trHeight w:val="497"/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FD4DAB8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Concepto Observado</w:t>
            </w: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3D78369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Importe Observado</w:t>
            </w:r>
          </w:p>
        </w:tc>
        <w:tc>
          <w:tcPr>
            <w:tcW w:w="32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DD92052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Modalidades de Solventación</w:t>
            </w:r>
          </w:p>
        </w:tc>
        <w:tc>
          <w:tcPr>
            <w:tcW w:w="16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DB9C714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Pendiente de Solventar</w:t>
            </w:r>
          </w:p>
        </w:tc>
      </w:tr>
      <w:tr w:rsidR="00687280" w:rsidRPr="00EF2DAB" w14:paraId="170AA63B" w14:textId="77777777" w:rsidTr="00687280">
        <w:trPr>
          <w:trHeight w:val="397"/>
          <w:tblHeader/>
          <w:jc w:val="center"/>
        </w:trPr>
        <w:tc>
          <w:tcPr>
            <w:tcW w:w="297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CE30A41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D0D3F25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03C5EFC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714BCCC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Reintegro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19B8A05" w14:textId="77777777" w:rsidR="00687280" w:rsidRPr="00EF2DAB" w:rsidRDefault="00687280" w:rsidP="00687280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87280" w:rsidRPr="00EF2DAB" w14:paraId="5DFE0342" w14:textId="77777777" w:rsidTr="00687280">
        <w:trPr>
          <w:trHeight w:val="826"/>
          <w:jc w:val="center"/>
        </w:trPr>
        <w:tc>
          <w:tcPr>
            <w:tcW w:w="297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E97D2B2" w14:textId="77777777" w:rsidR="00687280" w:rsidRPr="00EF2DAB" w:rsidRDefault="00687280" w:rsidP="0068728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(1B) Falta de documentación comprobatoria de las erogaciones o que no reúne requisitos fiscales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717A9F0C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$1,216,707.00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348BE5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$495,494.00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E77F78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121008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  <w:lang w:eastAsia="en-US"/>
              </w:rPr>
              <w:t>$721,213.00</w:t>
            </w:r>
          </w:p>
        </w:tc>
      </w:tr>
      <w:tr w:rsidR="00687280" w:rsidRPr="00EF2DAB" w14:paraId="2329E67E" w14:textId="77777777" w:rsidTr="00687280">
        <w:trPr>
          <w:trHeight w:val="592"/>
          <w:jc w:val="center"/>
        </w:trPr>
        <w:tc>
          <w:tcPr>
            <w:tcW w:w="297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4CFDA95" w14:textId="77777777" w:rsidR="00687280" w:rsidRPr="00EF2DAB" w:rsidRDefault="00687280" w:rsidP="0068728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(1C) Falta de autorización o justificación de las erogaciones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5017DA3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404,126.00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53DCBA2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B9AB2B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E855A2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404,126.00</w:t>
            </w:r>
          </w:p>
        </w:tc>
      </w:tr>
      <w:tr w:rsidR="00687280" w:rsidRPr="00EF2DAB" w14:paraId="22D58A8A" w14:textId="77777777" w:rsidTr="00687280">
        <w:trPr>
          <w:trHeight w:val="826"/>
          <w:jc w:val="center"/>
        </w:trPr>
        <w:tc>
          <w:tcPr>
            <w:tcW w:w="297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197C43EC" w14:textId="77777777" w:rsidR="00687280" w:rsidRPr="00EF2DAB" w:rsidRDefault="00687280" w:rsidP="0068728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4F466789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330,000.00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FED274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330,000.00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DC8441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CAA2D5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</w:tr>
      <w:tr w:rsidR="00687280" w:rsidRPr="00EF2DAB" w14:paraId="4D123A49" w14:textId="77777777" w:rsidTr="00687280">
        <w:trPr>
          <w:trHeight w:val="556"/>
          <w:jc w:val="center"/>
        </w:trPr>
        <w:tc>
          <w:tcPr>
            <w:tcW w:w="297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75309CB5" w14:textId="77777777" w:rsidR="00687280" w:rsidRPr="00EF2DAB" w:rsidRDefault="00687280" w:rsidP="00687280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(3O) Diferencias de registros contra Cuenta Pública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64F8BE05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11,100.41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9E9FCE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11,100.41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1658172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E23C390" w14:textId="77777777" w:rsidR="00687280" w:rsidRPr="00EF2DAB" w:rsidRDefault="00687280" w:rsidP="00687280">
            <w:pPr>
              <w:spacing w:line="276" w:lineRule="auto"/>
              <w:jc w:val="right"/>
              <w:rPr>
                <w:rFonts w:ascii="Arial" w:hAnsi="Arial" w:cs="Arial"/>
                <w:sz w:val="19"/>
                <w:szCs w:val="19"/>
                <w:highlight w:val="yellow"/>
              </w:rPr>
            </w:pPr>
            <w:r w:rsidRPr="00EF2DA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</w:tr>
      <w:tr w:rsidR="00687280" w:rsidRPr="00EF2DAB" w14:paraId="554DA2A8" w14:textId="77777777" w:rsidTr="00687280">
        <w:trPr>
          <w:trHeight w:val="355"/>
          <w:jc w:val="center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F52ED97" w14:textId="77777777" w:rsidR="00687280" w:rsidRPr="00EF2DAB" w:rsidRDefault="00687280" w:rsidP="00687280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sz w:val="19"/>
                <w:szCs w:val="19"/>
              </w:rPr>
              <w:t>Totales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71A959" w14:textId="77777777" w:rsidR="00687280" w:rsidRPr="00EF2DAB" w:rsidRDefault="00687280" w:rsidP="00687280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  <w:t>$1,961,933.41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27A9FF7" w14:textId="77777777" w:rsidR="00687280" w:rsidRPr="00EF2DAB" w:rsidRDefault="00687280" w:rsidP="00687280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EF2DAB"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  <w:t>$836,594.41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557780A" w14:textId="77777777" w:rsidR="00687280" w:rsidRPr="00EF2DAB" w:rsidRDefault="00687280" w:rsidP="00687280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</w:pPr>
            <w:r w:rsidRPr="00EF2DAB"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  <w:t>$0.00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A4B8AE" w14:textId="77777777" w:rsidR="00687280" w:rsidRPr="00EF2DAB" w:rsidRDefault="00687280" w:rsidP="00687280">
            <w:pPr>
              <w:spacing w:line="276" w:lineRule="auto"/>
              <w:ind w:right="49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</w:pPr>
            <w:r w:rsidRPr="00EF2DAB">
              <w:rPr>
                <w:rFonts w:ascii="Arial" w:hAnsi="Arial" w:cs="Arial"/>
                <w:b/>
                <w:bCs/>
                <w:sz w:val="19"/>
                <w:szCs w:val="19"/>
                <w:lang w:eastAsia="es-MX"/>
              </w:rPr>
              <w:t>$1,125,339.00</w:t>
            </w:r>
          </w:p>
        </w:tc>
      </w:tr>
    </w:tbl>
    <w:p w14:paraId="1672D95F" w14:textId="73718F92" w:rsidR="00914648" w:rsidRDefault="00914648" w:rsidP="00EE5F92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b/>
          <w:bCs/>
          <w:szCs w:val="28"/>
        </w:rPr>
      </w:pPr>
    </w:p>
    <w:p w14:paraId="669DB6B8" w14:textId="77777777" w:rsidR="00DA3846" w:rsidRPr="00EF2DAB" w:rsidRDefault="00DA3846" w:rsidP="00EE5F92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b/>
          <w:bCs/>
          <w:szCs w:val="28"/>
        </w:rPr>
      </w:pPr>
    </w:p>
    <w:p w14:paraId="1C43053A" w14:textId="00C4BC27" w:rsidR="00E355F4" w:rsidRPr="00EF2DAB" w:rsidRDefault="00E355F4" w:rsidP="00F66630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Cs w:val="28"/>
        </w:rPr>
      </w:pPr>
      <w:r w:rsidRPr="00EF2DAB">
        <w:rPr>
          <w:rFonts w:ascii="Arial" w:hAnsi="Arial" w:cs="Arial"/>
          <w:b/>
          <w:bCs/>
          <w:szCs w:val="28"/>
        </w:rPr>
        <w:t>Síntesis de las justificaciones y aclaraciones presentadas por la Entidad Fiscalizada</w:t>
      </w:r>
    </w:p>
    <w:p w14:paraId="5E9C3370" w14:textId="6E59F9BD" w:rsidR="00FD716A" w:rsidRPr="00687280" w:rsidRDefault="00FD716A" w:rsidP="00F66630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4C9E967F" w14:textId="303CAC74" w:rsidR="00574BC9" w:rsidRPr="00EF2DAB" w:rsidRDefault="00574BC9" w:rsidP="00574BC9">
      <w:pPr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EF2DAB">
        <w:rPr>
          <w:rFonts w:ascii="Arial" w:hAnsi="Arial" w:cs="Arial"/>
          <w:szCs w:val="28"/>
        </w:rPr>
        <w:t>Asimismo, la entidad fiscalizada presentó en reunión de trabajo las justificaciones y aclaraciones relacionadas con los conceptos observados de los resultados de auditoría en materia financiera,</w:t>
      </w:r>
      <w:r w:rsidRPr="00EF2DAB">
        <w:t xml:space="preserve"> </w:t>
      </w:r>
      <w:r w:rsidRPr="00EF2DAB">
        <w:rPr>
          <w:rFonts w:ascii="Arial" w:hAnsi="Arial" w:cs="Arial"/>
          <w:szCs w:val="28"/>
        </w:rPr>
        <w:t xml:space="preserve"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determinadas por la Auditoría Superior del Estado y que se presentaron a </w:t>
      </w:r>
      <w:r w:rsidRPr="00EF2DAB">
        <w:rPr>
          <w:rFonts w:ascii="Arial" w:hAnsi="Arial" w:cs="Arial"/>
          <w:szCs w:val="28"/>
        </w:rPr>
        <w:lastRenderedPageBreak/>
        <w:t>este órgano técnico de fiscalización para efectos de la elaboración definitiva del Informe Individual de Auditoría de la Fiscalización Superior de la Cuenta Pública.</w:t>
      </w:r>
    </w:p>
    <w:p w14:paraId="6D483B5F" w14:textId="77777777" w:rsidR="00914648" w:rsidRPr="00EF2DAB" w:rsidRDefault="00914648" w:rsidP="00EE5F92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</w:rPr>
      </w:pPr>
    </w:p>
    <w:bookmarkEnd w:id="12"/>
    <w:p w14:paraId="6424A28D" w14:textId="52E4826E" w:rsidR="00112484" w:rsidRPr="00EF2DAB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I</w:t>
      </w:r>
      <w:r w:rsidR="00024164" w:rsidRPr="00EF2DAB">
        <w:rPr>
          <w:rFonts w:ascii="Arial" w:hAnsi="Arial" w:cs="Arial"/>
          <w:b/>
        </w:rPr>
        <w:t>I</w:t>
      </w:r>
      <w:r w:rsidR="00AA0C8E" w:rsidRPr="00EF2DAB">
        <w:rPr>
          <w:rFonts w:ascii="Arial" w:hAnsi="Arial" w:cs="Arial"/>
          <w:b/>
        </w:rPr>
        <w:t>I</w:t>
      </w:r>
      <w:r w:rsidR="00183532" w:rsidRPr="00EF2DAB">
        <w:rPr>
          <w:rFonts w:ascii="Arial" w:hAnsi="Arial" w:cs="Arial"/>
          <w:b/>
        </w:rPr>
        <w:t xml:space="preserve">. </w:t>
      </w:r>
      <w:r w:rsidR="00024164" w:rsidRPr="00EF2DAB">
        <w:rPr>
          <w:rFonts w:ascii="Arial" w:hAnsi="Arial" w:cs="Arial"/>
          <w:b/>
        </w:rPr>
        <w:t>DICT</w:t>
      </w:r>
      <w:r w:rsidR="004C3463" w:rsidRPr="00EF2DAB">
        <w:rPr>
          <w:rFonts w:ascii="Arial" w:hAnsi="Arial" w:cs="Arial"/>
          <w:b/>
        </w:rPr>
        <w:t>AMEN</w:t>
      </w:r>
      <w:r w:rsidR="00BE445E" w:rsidRPr="00EF2DAB">
        <w:rPr>
          <w:rFonts w:ascii="Arial" w:hAnsi="Arial" w:cs="Arial"/>
          <w:b/>
        </w:rPr>
        <w:t xml:space="preserve"> DE</w:t>
      </w:r>
      <w:r w:rsidR="00024164" w:rsidRPr="00EF2DAB">
        <w:rPr>
          <w:rFonts w:ascii="Arial" w:hAnsi="Arial" w:cs="Arial"/>
          <w:b/>
        </w:rPr>
        <w:t xml:space="preserve"> </w:t>
      </w:r>
      <w:r w:rsidR="00BE445E" w:rsidRPr="00EF2DAB">
        <w:rPr>
          <w:rFonts w:ascii="Arial" w:hAnsi="Arial" w:cs="Arial"/>
          <w:b/>
        </w:rPr>
        <w:t>L</w:t>
      </w:r>
      <w:r w:rsidR="00024164" w:rsidRPr="00EF2DAB">
        <w:rPr>
          <w:rFonts w:ascii="Arial" w:hAnsi="Arial" w:cs="Arial"/>
          <w:b/>
        </w:rPr>
        <w:t>OS</w:t>
      </w:r>
      <w:r w:rsidR="00BE445E" w:rsidRPr="00EF2DAB">
        <w:rPr>
          <w:rFonts w:ascii="Arial" w:hAnsi="Arial" w:cs="Arial"/>
          <w:b/>
        </w:rPr>
        <w:t xml:space="preserve"> INFORME</w:t>
      </w:r>
      <w:r w:rsidR="00024164" w:rsidRPr="00EF2DAB">
        <w:rPr>
          <w:rFonts w:ascii="Arial" w:hAnsi="Arial" w:cs="Arial"/>
          <w:b/>
        </w:rPr>
        <w:t>S</w:t>
      </w:r>
      <w:r w:rsidR="00BE445E" w:rsidRPr="00EF2DAB">
        <w:rPr>
          <w:rFonts w:ascii="Arial" w:hAnsi="Arial" w:cs="Arial"/>
          <w:b/>
        </w:rPr>
        <w:t xml:space="preserve"> INDIVIDUAL</w:t>
      </w:r>
      <w:r w:rsidR="00024164" w:rsidRPr="00EF2DAB">
        <w:rPr>
          <w:rFonts w:ascii="Arial" w:hAnsi="Arial" w:cs="Arial"/>
          <w:b/>
        </w:rPr>
        <w:t>ES</w:t>
      </w:r>
      <w:r w:rsidR="00BE445E" w:rsidRPr="00EF2DAB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687280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2B6D22B8" w14:textId="52C1B17B" w:rsidR="00BC7D12" w:rsidRPr="00EF2DAB" w:rsidRDefault="00BC7D12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 xml:space="preserve">El presente dictamen se emite el </w:t>
      </w:r>
      <w:r w:rsidR="0030523F" w:rsidRPr="00EF2DAB">
        <w:rPr>
          <w:rFonts w:ascii="Arial" w:hAnsi="Arial" w:cs="Arial"/>
        </w:rPr>
        <w:t>22</w:t>
      </w:r>
      <w:r w:rsidR="00E00284" w:rsidRPr="00EF2DAB">
        <w:rPr>
          <w:rFonts w:ascii="Arial" w:hAnsi="Arial" w:cs="Arial"/>
        </w:rPr>
        <w:t xml:space="preserve"> de </w:t>
      </w:r>
      <w:r w:rsidR="0030523F" w:rsidRPr="00EF2DAB">
        <w:rPr>
          <w:rFonts w:ascii="Arial" w:hAnsi="Arial" w:cs="Arial"/>
        </w:rPr>
        <w:t>enero</w:t>
      </w:r>
      <w:r w:rsidR="00E00284" w:rsidRPr="00EF2DAB">
        <w:rPr>
          <w:rFonts w:ascii="Arial" w:hAnsi="Arial" w:cs="Arial"/>
        </w:rPr>
        <w:t xml:space="preserve"> de 202</w:t>
      </w:r>
      <w:r w:rsidR="0030523F" w:rsidRPr="00EF2DAB">
        <w:rPr>
          <w:rFonts w:ascii="Arial" w:hAnsi="Arial" w:cs="Arial"/>
        </w:rPr>
        <w:t>4</w:t>
      </w:r>
      <w:r w:rsidRPr="00EF2DAB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los estados e informes contables</w:t>
      </w:r>
      <w:r w:rsidR="00574BC9" w:rsidRPr="00EF2DAB">
        <w:rPr>
          <w:rFonts w:ascii="Arial" w:hAnsi="Arial" w:cs="Arial"/>
        </w:rPr>
        <w:t>,</w:t>
      </w:r>
      <w:r w:rsidRPr="00EF2DAB">
        <w:rPr>
          <w:rFonts w:ascii="Arial" w:hAnsi="Arial" w:cs="Arial"/>
        </w:rPr>
        <w:t xml:space="preserve"> presupuestarios </w:t>
      </w:r>
      <w:r w:rsidR="00574BC9" w:rsidRPr="00EF2DAB">
        <w:rPr>
          <w:rFonts w:ascii="Arial" w:hAnsi="Arial" w:cs="Arial"/>
        </w:rPr>
        <w:t xml:space="preserve">y programáticos </w:t>
      </w:r>
      <w:r w:rsidRPr="00EF2DAB">
        <w:rPr>
          <w:rFonts w:ascii="Arial" w:hAnsi="Arial" w:cs="Arial"/>
        </w:rPr>
        <w:t xml:space="preserve">que integran la Cuenta Pública del ejercicio fiscal </w:t>
      </w:r>
      <w:r w:rsidR="00A623C4" w:rsidRPr="00EF2DAB">
        <w:rPr>
          <w:rFonts w:ascii="Arial" w:hAnsi="Arial" w:cs="Arial"/>
        </w:rPr>
        <w:t>202</w:t>
      </w:r>
      <w:r w:rsidR="00574BC9" w:rsidRPr="00EF2DAB">
        <w:rPr>
          <w:rFonts w:ascii="Arial" w:hAnsi="Arial" w:cs="Arial"/>
        </w:rPr>
        <w:t>2</w:t>
      </w:r>
      <w:r w:rsidRPr="00EF2DAB">
        <w:rPr>
          <w:rFonts w:ascii="Arial" w:hAnsi="Arial" w:cs="Arial"/>
        </w:rPr>
        <w:t xml:space="preserve">, formulados, integrados y presentados por </w:t>
      </w:r>
      <w:r w:rsidR="00096CBB" w:rsidRPr="00EF2DAB">
        <w:rPr>
          <w:rFonts w:ascii="Arial" w:hAnsi="Arial" w:cs="Arial"/>
        </w:rPr>
        <w:t>la</w:t>
      </w:r>
      <w:r w:rsidRPr="00EF2DAB">
        <w:rPr>
          <w:rFonts w:ascii="Arial" w:hAnsi="Arial" w:cs="Arial"/>
        </w:rPr>
        <w:t xml:space="preserve"> </w:t>
      </w:r>
      <w:r w:rsidR="007E2962" w:rsidRPr="00EF2DAB">
        <w:rPr>
          <w:rFonts w:ascii="Arial" w:hAnsi="Arial" w:cs="Arial"/>
          <w:b/>
          <w:bCs/>
        </w:rPr>
        <w:t>Comisión para la Juventud y el Deporte de Quintana Roo</w:t>
      </w:r>
      <w:r w:rsidR="000408F6" w:rsidRPr="00EF2DAB">
        <w:rPr>
          <w:rFonts w:ascii="Arial" w:hAnsi="Arial" w:cs="Arial"/>
          <w:b/>
          <w:bCs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Pr="00687280">
        <w:rPr>
          <w:rFonts w:ascii="Arial" w:hAnsi="Arial" w:cs="Arial"/>
          <w:bCs/>
        </w:rPr>
        <w:t>.</w:t>
      </w:r>
    </w:p>
    <w:p w14:paraId="14D9C27D" w14:textId="77777777" w:rsidR="00BC7D12" w:rsidRPr="00687280" w:rsidRDefault="00BC7D12" w:rsidP="00F66630">
      <w:pPr>
        <w:spacing w:line="360" w:lineRule="auto"/>
        <w:jc w:val="both"/>
        <w:rPr>
          <w:rFonts w:ascii="Arial" w:hAnsi="Arial" w:cs="Arial"/>
        </w:rPr>
      </w:pPr>
    </w:p>
    <w:p w14:paraId="0107007E" w14:textId="454A9E8C" w:rsidR="00BC7D12" w:rsidRPr="00EF2DAB" w:rsidRDefault="00BC7D12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5AB137A0" w14:textId="77777777" w:rsidR="00914648" w:rsidRPr="00687280" w:rsidRDefault="00914648" w:rsidP="006F534F">
      <w:pPr>
        <w:spacing w:line="360" w:lineRule="auto"/>
        <w:ind w:right="49"/>
        <w:jc w:val="both"/>
        <w:rPr>
          <w:rFonts w:ascii="Arial" w:hAnsi="Arial" w:cs="Arial"/>
        </w:rPr>
      </w:pPr>
    </w:p>
    <w:p w14:paraId="1F3249AB" w14:textId="41FFA698" w:rsidR="00BC7D12" w:rsidRPr="00EF2DAB" w:rsidRDefault="00BC7D12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auditoría, incluida la evaluación </w:t>
      </w:r>
      <w:r w:rsidRPr="00EF2DAB">
        <w:rPr>
          <w:rFonts w:ascii="Arial" w:hAnsi="Arial" w:cs="Arial"/>
        </w:rPr>
        <w:lastRenderedPageBreak/>
        <w:t>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</w:t>
      </w:r>
      <w:r w:rsidR="0027043C" w:rsidRPr="00EF2DAB">
        <w:rPr>
          <w:rFonts w:ascii="Arial" w:hAnsi="Arial" w:cs="Arial"/>
        </w:rPr>
        <w:t>vas que se estimaron necesarias</w:t>
      </w:r>
      <w:r w:rsidRPr="00EF2DAB">
        <w:rPr>
          <w:rFonts w:ascii="Arial" w:hAnsi="Arial" w:cs="Arial"/>
        </w:rPr>
        <w:t xml:space="preserve"> y, en consecuencia, se considera que la evidencia obtenida de la fiscalización proporciona una base suficiente y adecuada para emitir el siguiente dictamen de auditoría que se refiere a la muestra de los rubros revisados:</w:t>
      </w:r>
    </w:p>
    <w:p w14:paraId="49106068" w14:textId="77777777" w:rsidR="00A623C4" w:rsidRPr="00687280" w:rsidRDefault="00A623C4" w:rsidP="006F534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7F3A2445" w14:textId="0222C935" w:rsidR="00BC7D12" w:rsidRPr="00EF2DAB" w:rsidRDefault="00BC7D12" w:rsidP="006F534F">
      <w:pPr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Con base en los resultados obtenidos en la auditoría practicada</w:t>
      </w:r>
      <w:r w:rsidRPr="00EF2DAB">
        <w:rPr>
          <w:rFonts w:ascii="Arial" w:hAnsi="Arial" w:cs="Arial"/>
          <w:b/>
        </w:rPr>
        <w:t xml:space="preserve"> </w:t>
      </w:r>
      <w:r w:rsidRPr="00EF2DAB">
        <w:rPr>
          <w:rFonts w:ascii="Arial" w:hAnsi="Arial" w:cs="Arial"/>
        </w:rPr>
        <w:t xml:space="preserve">número </w:t>
      </w:r>
      <w:r w:rsidR="00574BC9" w:rsidRPr="00EF2DAB">
        <w:rPr>
          <w:rFonts w:ascii="Arial" w:hAnsi="Arial" w:cs="Arial"/>
          <w:b/>
          <w:bCs/>
        </w:rPr>
        <w:t>22-AEMF-E-GOB-029-061</w:t>
      </w:r>
      <w:r w:rsidR="00574BC9" w:rsidRPr="00EF2DAB">
        <w:rPr>
          <w:rFonts w:ascii="Arial" w:hAnsi="Arial" w:cs="Arial"/>
          <w:bCs/>
        </w:rPr>
        <w:t>, denominada ”Auditoría de Cumplimiento Financiero de Ingresos Públicos”, cuyo objetivo fue fiscalizar la gestión financiera para comprobar el cumplimiento de lo dispuesto en la Ley de Ingresos, y demás disposiciones legales aplicables, en cuanto a los ingresos públicos, incluyendo la revisión del manejo, la custodia y la aplicación de recursos públicos estatales</w:t>
      </w:r>
      <w:r w:rsidR="006707E1">
        <w:rPr>
          <w:rFonts w:ascii="Arial" w:hAnsi="Arial" w:cs="Arial"/>
          <w:bCs/>
        </w:rPr>
        <w:t xml:space="preserve"> y propios</w:t>
      </w:r>
      <w:r w:rsidR="00574BC9" w:rsidRPr="00EF2DAB">
        <w:rPr>
          <w:rFonts w:ascii="Arial" w:hAnsi="Arial" w:cs="Arial"/>
          <w:bCs/>
        </w:rPr>
        <w:t xml:space="preserve">, así como de la información financiera, contable, patrimonial y presupuestaria, conforme a las disposiciones aplicables, para verificar que los ingresos públicos, se hayan devengado y registrado conforme a los montos aprobados, y específicamente, respecto de la muestra auditada señalada en el apartado relativo al alcance, en nuestra opinión se concluye que en términos generales, la </w:t>
      </w:r>
      <w:r w:rsidR="00574BC9" w:rsidRPr="00EF2DAB">
        <w:rPr>
          <w:rFonts w:ascii="Arial" w:hAnsi="Arial" w:cs="Arial"/>
          <w:b/>
          <w:bCs/>
        </w:rPr>
        <w:t>Comisión para la Juventud y el Deporte de Quintana Roo</w:t>
      </w:r>
      <w:r w:rsidR="000408F6" w:rsidRPr="00EF2DAB">
        <w:rPr>
          <w:rFonts w:ascii="Arial" w:hAnsi="Arial" w:cs="Arial"/>
          <w:b/>
          <w:bCs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="00574BC9" w:rsidRPr="00EF2DAB">
        <w:rPr>
          <w:rFonts w:ascii="Arial" w:hAnsi="Arial" w:cs="Arial"/>
          <w:b/>
          <w:bCs/>
        </w:rPr>
        <w:t xml:space="preserve"> </w:t>
      </w:r>
      <w:r w:rsidR="00574BC9" w:rsidRPr="00EF2DAB">
        <w:rPr>
          <w:rFonts w:ascii="Arial" w:hAnsi="Arial" w:cs="Arial"/>
          <w:bCs/>
        </w:rPr>
        <w:t>cumplió con las disposiciones legales y normativas que son aplicables en la materia.</w:t>
      </w:r>
    </w:p>
    <w:p w14:paraId="6EEE9B5B" w14:textId="119D5D35" w:rsidR="00A623C4" w:rsidRPr="00687280" w:rsidRDefault="00A623C4" w:rsidP="006F534F">
      <w:pPr>
        <w:spacing w:line="360" w:lineRule="auto"/>
        <w:ind w:right="49"/>
        <w:jc w:val="both"/>
        <w:rPr>
          <w:rFonts w:ascii="Arial" w:hAnsi="Arial" w:cs="Arial"/>
        </w:rPr>
      </w:pPr>
    </w:p>
    <w:p w14:paraId="136EAD94" w14:textId="249FF315" w:rsidR="00BC7D12" w:rsidRPr="00EF2DAB" w:rsidRDefault="00BC7D12" w:rsidP="006F534F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r w:rsidRPr="00EF2DAB">
        <w:rPr>
          <w:rFonts w:ascii="Arial" w:hAnsi="Arial" w:cs="Arial"/>
        </w:rPr>
        <w:t>Con base en los resultados obtenidos en la auditoría practicada</w:t>
      </w:r>
      <w:r w:rsidRPr="00EF2DAB">
        <w:rPr>
          <w:rFonts w:ascii="Arial" w:hAnsi="Arial" w:cs="Arial"/>
          <w:b/>
        </w:rPr>
        <w:t xml:space="preserve"> </w:t>
      </w:r>
      <w:r w:rsidRPr="00EF2DAB">
        <w:rPr>
          <w:rFonts w:ascii="Arial" w:hAnsi="Arial" w:cs="Arial"/>
        </w:rPr>
        <w:t xml:space="preserve">número </w:t>
      </w:r>
      <w:r w:rsidR="00574BC9" w:rsidRPr="00EF2DAB">
        <w:rPr>
          <w:rFonts w:ascii="Arial" w:hAnsi="Arial" w:cs="Arial"/>
          <w:b/>
        </w:rPr>
        <w:t>22-AEMF-E-GOB-029-062</w:t>
      </w:r>
      <w:r w:rsidR="00574BC9" w:rsidRPr="00EF2DAB">
        <w:rPr>
          <w:rFonts w:ascii="Arial" w:hAnsi="Arial" w:cs="Arial"/>
        </w:rPr>
        <w:t>, denominada “Auditoría de Cumplimiento Financiero de Gastos Públicos”</w:t>
      </w:r>
      <w:r w:rsidR="00574BC9" w:rsidRPr="00EF2DAB">
        <w:rPr>
          <w:rFonts w:ascii="Arial" w:hAnsi="Arial" w:cs="Arial"/>
          <w:b/>
        </w:rPr>
        <w:t xml:space="preserve"> </w:t>
      </w:r>
      <w:r w:rsidR="00574BC9" w:rsidRPr="00EF2DAB">
        <w:rPr>
          <w:rFonts w:ascii="Arial" w:hAnsi="Arial" w:cs="Arial"/>
        </w:rPr>
        <w:t xml:space="preserve">cuyo objetivo fue fiscalizar la gestión financiera para comprobar el cumplimiento de lo dispuesto en el Presupuesto de Egresos, y demás disposiciones legales aplicables, en cuanto a los </w:t>
      </w:r>
      <w:r w:rsidR="00574BC9" w:rsidRPr="00EF2DAB">
        <w:rPr>
          <w:rFonts w:ascii="Arial" w:hAnsi="Arial" w:cs="Arial"/>
        </w:rPr>
        <w:lastRenderedPageBreak/>
        <w:t xml:space="preserve">gastos públicos, incluyendo la revisión del manejo, la custodia y la aplicación de recursos públicos estatales, así como de la información financiera, contable, patrimonial, presupuestaria y programática, conforme a las disposiciones aplicables, para verificar que el presupuesto asignado, a los programas presupuestarios E068 – Promoción y Desarrollo del Deporte, M001 – Gestión y Apoyo Institucional, se hayan devengado y registrado conforme a los montos aprobados, y específicamente, respecto de la muestra auditada señalada en el apartado relativo al alcance, en nuestra opinión se concluye que en términos generales, </w:t>
      </w:r>
      <w:r w:rsidR="00574BC9" w:rsidRPr="00EF2DAB">
        <w:rPr>
          <w:rFonts w:ascii="Arial" w:hAnsi="Arial" w:cs="Arial"/>
          <w:bCs/>
        </w:rPr>
        <w:t xml:space="preserve">la </w:t>
      </w:r>
      <w:r w:rsidR="00574BC9" w:rsidRPr="00EF2DAB">
        <w:rPr>
          <w:rFonts w:ascii="Arial" w:hAnsi="Arial" w:cs="Arial"/>
          <w:b/>
          <w:bCs/>
        </w:rPr>
        <w:t>Comisión para la Juventud y el Deporte de Quintana Roo</w:t>
      </w:r>
      <w:r w:rsidR="000408F6" w:rsidRPr="00EF2DAB">
        <w:rPr>
          <w:rFonts w:ascii="Arial" w:hAnsi="Arial" w:cs="Arial"/>
          <w:b/>
          <w:bCs/>
        </w:rPr>
        <w:t xml:space="preserve"> </w:t>
      </w:r>
      <w:r w:rsidR="001706B9" w:rsidRPr="00EF2DAB">
        <w:rPr>
          <w:rFonts w:ascii="Arial" w:hAnsi="Arial" w:cs="Arial"/>
        </w:rPr>
        <w:t>(actualmente Comisión del Deporte de Quintana Roo de acuerdo al Decreto número 121)</w:t>
      </w:r>
      <w:r w:rsidR="00574BC9" w:rsidRPr="00EF2DAB">
        <w:rPr>
          <w:rFonts w:ascii="Arial" w:hAnsi="Arial" w:cs="Arial"/>
          <w:b/>
          <w:bCs/>
        </w:rPr>
        <w:t xml:space="preserve"> </w:t>
      </w:r>
      <w:r w:rsidR="00574BC9" w:rsidRPr="00EF2DAB">
        <w:rPr>
          <w:rFonts w:ascii="Arial" w:hAnsi="Arial" w:cs="Arial"/>
        </w:rPr>
        <w:t>cumplió con las disposiciones legales y normativas que son aplicables en la materia</w:t>
      </w:r>
      <w:r w:rsidR="00F10B75" w:rsidRPr="00EF2DAB">
        <w:rPr>
          <w:rFonts w:ascii="Arial" w:hAnsi="Arial" w:cs="Arial"/>
        </w:rPr>
        <w:t>.</w:t>
      </w:r>
    </w:p>
    <w:p w14:paraId="273D24D4" w14:textId="77777777" w:rsidR="00EF2DAB" w:rsidRPr="00EF2DAB" w:rsidRDefault="00EF2DAB" w:rsidP="006F534F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61CDA652" w14:textId="17FC81F4" w:rsidR="00914648" w:rsidRPr="00EF2DAB" w:rsidRDefault="004C3463" w:rsidP="006F534F">
      <w:pPr>
        <w:spacing w:line="360" w:lineRule="auto"/>
        <w:ind w:right="49"/>
        <w:jc w:val="both"/>
        <w:rPr>
          <w:rFonts w:ascii="Arial" w:hAnsi="Arial" w:cs="Arial"/>
          <w:sz w:val="22"/>
          <w:szCs w:val="22"/>
        </w:rPr>
      </w:pPr>
      <w:r w:rsidRPr="00EF2DAB">
        <w:rPr>
          <w:rFonts w:ascii="Arial" w:hAnsi="Arial" w:cs="Arial"/>
        </w:rPr>
        <w:t>Las acciones y recomendaciones emitidas quedarán formalmente promovidas a partir de la notificación</w:t>
      </w:r>
      <w:r w:rsidR="00624BC7" w:rsidRPr="00EF2DAB">
        <w:rPr>
          <w:rFonts w:ascii="Arial" w:hAnsi="Arial" w:cs="Arial"/>
        </w:rPr>
        <w:t xml:space="preserve"> del</w:t>
      </w:r>
      <w:r w:rsidR="00255099" w:rsidRPr="00EF2DAB">
        <w:rPr>
          <w:rFonts w:ascii="Arial" w:hAnsi="Arial" w:cs="Arial"/>
        </w:rPr>
        <w:t xml:space="preserve"> Informe Individual de Auditoría </w:t>
      </w:r>
      <w:r w:rsidR="00624BC7" w:rsidRPr="00EF2DAB">
        <w:rPr>
          <w:rFonts w:ascii="Arial" w:hAnsi="Arial" w:cs="Arial"/>
        </w:rPr>
        <w:t xml:space="preserve">al ente </w:t>
      </w:r>
      <w:proofErr w:type="spellStart"/>
      <w:r w:rsidR="00624BC7" w:rsidRPr="00EF2DAB">
        <w:rPr>
          <w:rFonts w:ascii="Arial" w:hAnsi="Arial" w:cs="Arial"/>
        </w:rPr>
        <w:t>fiscalizado</w:t>
      </w:r>
      <w:proofErr w:type="spellEnd"/>
      <w:r w:rsidR="00624BC7" w:rsidRPr="00EF2DAB">
        <w:rPr>
          <w:rFonts w:ascii="Arial" w:hAnsi="Arial" w:cs="Arial"/>
        </w:rPr>
        <w:t xml:space="preserve"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de las mejoras realizadas y las acciones emprendidas por las recomendaciones, realizando las consideraciones pertinentes de acuerdo a la </w:t>
      </w:r>
      <w:r w:rsidR="00255099" w:rsidRPr="00EF2DAB">
        <w:rPr>
          <w:rFonts w:ascii="Arial" w:hAnsi="Arial" w:cs="Arial"/>
        </w:rPr>
        <w:t>Ley de Fiscalización y Rendición de Cuentas del Estado de Quintana Roo</w:t>
      </w:r>
      <w:r w:rsidR="00624BC7" w:rsidRPr="00EF2DAB">
        <w:rPr>
          <w:rFonts w:ascii="Arial" w:hAnsi="Arial" w:cs="Arial"/>
        </w:rPr>
        <w:t>.</w:t>
      </w:r>
    </w:p>
    <w:p w14:paraId="1F035B26" w14:textId="50D3BF1A" w:rsidR="00C02910" w:rsidRPr="00EF2DAB" w:rsidRDefault="00C02910" w:rsidP="00EE5F92">
      <w:pPr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</w:p>
    <w:p w14:paraId="6657329E" w14:textId="77777777" w:rsidR="00FC2117" w:rsidRPr="00EF2DAB" w:rsidRDefault="00FC2117" w:rsidP="00EE5F92">
      <w:pPr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</w:p>
    <w:p w14:paraId="677EE363" w14:textId="77777777" w:rsidR="00F8399B" w:rsidRPr="00EF2DAB" w:rsidRDefault="00F8399B" w:rsidP="00F8399B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EL AUDITOR SUPERIOR DEL ESTADO</w:t>
      </w:r>
    </w:p>
    <w:p w14:paraId="4C20B9B9" w14:textId="5DCB5C43" w:rsidR="00914648" w:rsidRPr="00EF2DAB" w:rsidRDefault="00914648" w:rsidP="00F8399B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5D9F4EE7" w14:textId="77777777" w:rsidR="00914648" w:rsidRPr="00EF2DAB" w:rsidRDefault="00914648" w:rsidP="00F8399B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1F48447F" w14:textId="10A56046" w:rsidR="00F8399B" w:rsidRPr="00EF2DAB" w:rsidRDefault="00C94BBC" w:rsidP="00F8399B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EF2DAB">
        <w:rPr>
          <w:rFonts w:ascii="Arial" w:hAnsi="Arial" w:cs="Arial"/>
          <w:b/>
        </w:rPr>
        <w:t>M. EN AUD.</w:t>
      </w:r>
      <w:r w:rsidR="00F8399B" w:rsidRPr="00EF2DAB">
        <w:rPr>
          <w:rFonts w:ascii="Arial" w:hAnsi="Arial" w:cs="Arial"/>
          <w:b/>
        </w:rPr>
        <w:t xml:space="preserve"> MANUEL PALACIOS HERRERA</w:t>
      </w:r>
    </w:p>
    <w:p w14:paraId="2CF0A91F" w14:textId="6B4F6909" w:rsidR="00CD66A3" w:rsidRPr="00EF2DAB" w:rsidRDefault="00CD66A3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66AE244" w14:textId="021CCCB2" w:rsidR="002F234B" w:rsidRPr="00EF2DAB" w:rsidRDefault="002F234B" w:rsidP="00C55882">
      <w:pPr>
        <w:ind w:left="426" w:right="352"/>
        <w:jc w:val="both"/>
        <w:rPr>
          <w:rFonts w:ascii="Arial" w:hAnsi="Arial" w:cs="Arial"/>
          <w:sz w:val="20"/>
          <w:szCs w:val="20"/>
          <w:highlight w:val="yellow"/>
        </w:rPr>
      </w:pPr>
    </w:p>
    <w:sectPr w:rsidR="002F234B" w:rsidRPr="00EF2DAB" w:rsidSect="00C55882">
      <w:headerReference w:type="default" r:id="rId8"/>
      <w:footerReference w:type="default" r:id="rId9"/>
      <w:pgSz w:w="12240" w:h="15840" w:code="1"/>
      <w:pgMar w:top="851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C7D0" w14:textId="77777777" w:rsidR="00302470" w:rsidRDefault="00302470">
      <w:r>
        <w:separator/>
      </w:r>
    </w:p>
  </w:endnote>
  <w:endnote w:type="continuationSeparator" w:id="0">
    <w:p w14:paraId="25A284D2" w14:textId="77777777" w:rsidR="00302470" w:rsidRDefault="00302470">
      <w:r>
        <w:continuationSeparator/>
      </w:r>
    </w:p>
  </w:endnote>
  <w:endnote w:type="continuationNotice" w:id="1">
    <w:p w14:paraId="122BB440" w14:textId="77777777" w:rsidR="00302470" w:rsidRDefault="003024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78"/>
    </w:tblGrid>
    <w:tr w:rsidR="00687280" w14:paraId="6A5BE9BB" w14:textId="77777777" w:rsidTr="0019434C">
      <w:tc>
        <w:tcPr>
          <w:tcW w:w="9678" w:type="dxa"/>
        </w:tcPr>
        <w:p w14:paraId="64429BB2" w14:textId="77777777" w:rsidR="00687280" w:rsidRDefault="00687280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</w:tr>
  </w:tbl>
  <w:p w14:paraId="2DA073E8" w14:textId="7724D1DA" w:rsidR="00687280" w:rsidRPr="00B516B6" w:rsidRDefault="0068728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A21D6">
      <w:rPr>
        <w:rFonts w:ascii="Arial" w:hAnsi="Arial" w:cs="Arial"/>
        <w:b/>
        <w:bCs/>
        <w:noProof/>
        <w:sz w:val="18"/>
        <w:szCs w:val="18"/>
      </w:rPr>
      <w:t>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A21D6">
      <w:rPr>
        <w:rFonts w:ascii="Arial" w:hAnsi="Arial" w:cs="Arial"/>
        <w:b/>
        <w:bCs/>
        <w:noProof/>
        <w:sz w:val="18"/>
        <w:szCs w:val="18"/>
      </w:rPr>
      <w:t>28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DE29" w14:textId="77777777" w:rsidR="00302470" w:rsidRDefault="00302470">
      <w:r>
        <w:separator/>
      </w:r>
    </w:p>
  </w:footnote>
  <w:footnote w:type="continuationSeparator" w:id="0">
    <w:p w14:paraId="1FA876F5" w14:textId="77777777" w:rsidR="00302470" w:rsidRDefault="00302470">
      <w:r>
        <w:continuationSeparator/>
      </w:r>
    </w:p>
  </w:footnote>
  <w:footnote w:type="continuationNotice" w:id="1">
    <w:p w14:paraId="1A47B949" w14:textId="77777777" w:rsidR="00302470" w:rsidRDefault="003024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687280" w:rsidRPr="006F757C" w14:paraId="56C9C28E" w14:textId="77777777" w:rsidTr="000D3767">
      <w:tc>
        <w:tcPr>
          <w:tcW w:w="2055" w:type="dxa"/>
          <w:vAlign w:val="center"/>
        </w:tcPr>
        <w:p w14:paraId="0C824F63" w14:textId="77777777" w:rsidR="00687280" w:rsidRPr="00CF3DF4" w:rsidRDefault="00687280" w:rsidP="00050C8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7E2C3458" w14:textId="77777777" w:rsidR="00687280" w:rsidRPr="00CF3DF4" w:rsidRDefault="00687280" w:rsidP="00050C8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0E11AB2" w14:textId="7DC920CF" w:rsidR="00687280" w:rsidRPr="00207E4F" w:rsidRDefault="00687280" w:rsidP="00375385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687280" w:rsidRPr="003316E8" w14:paraId="6A8BA69B" w14:textId="77777777" w:rsidTr="000D3767">
      <w:tc>
        <w:tcPr>
          <w:tcW w:w="2055" w:type="dxa"/>
          <w:vAlign w:val="center"/>
          <w:hideMark/>
        </w:tcPr>
        <w:p w14:paraId="15399BA7" w14:textId="5B72804F" w:rsidR="00687280" w:rsidRPr="003316E8" w:rsidRDefault="00687280" w:rsidP="00050C8E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2B12CB7" wp14:editId="720D5666">
                <wp:extent cx="929005" cy="1228001"/>
                <wp:effectExtent l="0" t="0" r="444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ctu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54" t="11541" r="22200" b="14053"/>
                        <a:stretch/>
                      </pic:blipFill>
                      <pic:spPr bwMode="auto">
                        <a:xfrm>
                          <a:off x="0" y="0"/>
                          <a:ext cx="966892" cy="1278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5E152158" w14:textId="77777777" w:rsidR="00687280" w:rsidRPr="00373686" w:rsidRDefault="00687280" w:rsidP="00050C8E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6BAD1857" w14:textId="77777777" w:rsidR="00687280" w:rsidRPr="003316E8" w:rsidRDefault="00687280" w:rsidP="00050C8E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AC81180" wp14:editId="48544E5D">
                <wp:extent cx="1200150" cy="1190625"/>
                <wp:effectExtent l="0" t="0" r="0" b="0"/>
                <wp:docPr id="14" name="Imagen 1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7280" w:rsidRPr="003316E8" w14:paraId="7AB66ED2" w14:textId="77777777" w:rsidTr="000D3767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8382D2" w14:textId="77777777" w:rsidR="00687280" w:rsidRPr="003316E8" w:rsidRDefault="00687280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23E6516" w14:textId="77777777" w:rsidR="00687280" w:rsidRPr="003316E8" w:rsidRDefault="00687280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EB9030A" w14:textId="77777777" w:rsidR="00687280" w:rsidRPr="003316E8" w:rsidRDefault="00687280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46477C3" w14:textId="77777777" w:rsidR="00687280" w:rsidRPr="003C2FE7" w:rsidRDefault="0068728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716"/>
    <w:multiLevelType w:val="hybridMultilevel"/>
    <w:tmpl w:val="701447D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445068C"/>
    <w:multiLevelType w:val="hybridMultilevel"/>
    <w:tmpl w:val="C0F4C64A"/>
    <w:lvl w:ilvl="0" w:tplc="B754AC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CB5"/>
    <w:multiLevelType w:val="hybridMultilevel"/>
    <w:tmpl w:val="1B945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031FF"/>
    <w:multiLevelType w:val="hybridMultilevel"/>
    <w:tmpl w:val="89C03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A16"/>
    <w:multiLevelType w:val="hybridMultilevel"/>
    <w:tmpl w:val="701447D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F21074"/>
    <w:multiLevelType w:val="hybridMultilevel"/>
    <w:tmpl w:val="701447D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30674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6A6E6C"/>
    <w:multiLevelType w:val="hybridMultilevel"/>
    <w:tmpl w:val="FC1C7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425C"/>
    <w:multiLevelType w:val="hybridMultilevel"/>
    <w:tmpl w:val="EB387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10695"/>
    <w:multiLevelType w:val="hybridMultilevel"/>
    <w:tmpl w:val="7ADA5DB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B5E3C"/>
    <w:multiLevelType w:val="hybridMultilevel"/>
    <w:tmpl w:val="F1644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F458A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C82332"/>
    <w:multiLevelType w:val="hybridMultilevel"/>
    <w:tmpl w:val="ECFC3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61A82"/>
    <w:multiLevelType w:val="hybridMultilevel"/>
    <w:tmpl w:val="701447D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FD0A1F"/>
    <w:multiLevelType w:val="multilevel"/>
    <w:tmpl w:val="EA568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041B13"/>
    <w:multiLevelType w:val="hybridMultilevel"/>
    <w:tmpl w:val="B0540F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5462F0"/>
    <w:multiLevelType w:val="hybridMultilevel"/>
    <w:tmpl w:val="6DFCCB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B036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354E7D"/>
    <w:multiLevelType w:val="multilevel"/>
    <w:tmpl w:val="25020D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F609B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CC4F13"/>
    <w:multiLevelType w:val="hybridMultilevel"/>
    <w:tmpl w:val="A1CC9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35DD0"/>
    <w:multiLevelType w:val="hybridMultilevel"/>
    <w:tmpl w:val="6A78D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F2A64"/>
    <w:multiLevelType w:val="hybridMultilevel"/>
    <w:tmpl w:val="0A9E9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5"/>
  </w:num>
  <w:num w:numId="5">
    <w:abstractNumId w:val="4"/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9"/>
  </w:num>
  <w:num w:numId="10">
    <w:abstractNumId w:val="14"/>
  </w:num>
  <w:num w:numId="11">
    <w:abstractNumId w:val="22"/>
  </w:num>
  <w:num w:numId="12">
    <w:abstractNumId w:val="13"/>
  </w:num>
  <w:num w:numId="13">
    <w:abstractNumId w:val="18"/>
  </w:num>
  <w:num w:numId="14">
    <w:abstractNumId w:val="2"/>
  </w:num>
  <w:num w:numId="15">
    <w:abstractNumId w:val="23"/>
  </w:num>
  <w:num w:numId="16">
    <w:abstractNumId w:val="25"/>
  </w:num>
  <w:num w:numId="17">
    <w:abstractNumId w:val="8"/>
  </w:num>
  <w:num w:numId="18">
    <w:abstractNumId w:val="7"/>
  </w:num>
  <w:num w:numId="19">
    <w:abstractNumId w:val="10"/>
  </w:num>
  <w:num w:numId="20">
    <w:abstractNumId w:val="24"/>
  </w:num>
  <w:num w:numId="21">
    <w:abstractNumId w:val="1"/>
  </w:num>
  <w:num w:numId="22">
    <w:abstractNumId w:val="3"/>
  </w:num>
  <w:num w:numId="23">
    <w:abstractNumId w:val="17"/>
  </w:num>
  <w:num w:numId="24">
    <w:abstractNumId w:val="21"/>
  </w:num>
  <w:num w:numId="25">
    <w:abstractNumId w:val="6"/>
  </w:num>
  <w:num w:numId="26">
    <w:abstractNumId w:val="20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2F6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466"/>
    <w:rsid w:val="00010E6C"/>
    <w:rsid w:val="00010EBA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164"/>
    <w:rsid w:val="000244C4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27B7E"/>
    <w:rsid w:val="00030B5F"/>
    <w:rsid w:val="00030BBF"/>
    <w:rsid w:val="00030C5F"/>
    <w:rsid w:val="00030DC0"/>
    <w:rsid w:val="00030E63"/>
    <w:rsid w:val="0003121C"/>
    <w:rsid w:val="00031920"/>
    <w:rsid w:val="00031E04"/>
    <w:rsid w:val="0003204A"/>
    <w:rsid w:val="000321D6"/>
    <w:rsid w:val="00032EC2"/>
    <w:rsid w:val="0003312F"/>
    <w:rsid w:val="000333C2"/>
    <w:rsid w:val="00033651"/>
    <w:rsid w:val="000338D8"/>
    <w:rsid w:val="000338F3"/>
    <w:rsid w:val="00034220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E04"/>
    <w:rsid w:val="00036F07"/>
    <w:rsid w:val="000373EB"/>
    <w:rsid w:val="00037A64"/>
    <w:rsid w:val="000408F6"/>
    <w:rsid w:val="000409EC"/>
    <w:rsid w:val="00040E11"/>
    <w:rsid w:val="000410F7"/>
    <w:rsid w:val="000412BE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4C7B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C8E"/>
    <w:rsid w:val="00050E63"/>
    <w:rsid w:val="000511B8"/>
    <w:rsid w:val="00051855"/>
    <w:rsid w:val="00051D82"/>
    <w:rsid w:val="0005284C"/>
    <w:rsid w:val="00052AE8"/>
    <w:rsid w:val="0005371C"/>
    <w:rsid w:val="00054360"/>
    <w:rsid w:val="00055654"/>
    <w:rsid w:val="0005586C"/>
    <w:rsid w:val="00055A2C"/>
    <w:rsid w:val="00055AD0"/>
    <w:rsid w:val="00055E78"/>
    <w:rsid w:val="0005619C"/>
    <w:rsid w:val="000564F7"/>
    <w:rsid w:val="000567E2"/>
    <w:rsid w:val="00056995"/>
    <w:rsid w:val="00057151"/>
    <w:rsid w:val="00057542"/>
    <w:rsid w:val="000579FE"/>
    <w:rsid w:val="00060AE7"/>
    <w:rsid w:val="00060E1E"/>
    <w:rsid w:val="00061C2B"/>
    <w:rsid w:val="0006356D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70CF1"/>
    <w:rsid w:val="00070DAC"/>
    <w:rsid w:val="00070DE6"/>
    <w:rsid w:val="00072578"/>
    <w:rsid w:val="00072BEF"/>
    <w:rsid w:val="00073143"/>
    <w:rsid w:val="00073637"/>
    <w:rsid w:val="00073C40"/>
    <w:rsid w:val="000747BF"/>
    <w:rsid w:val="0007519E"/>
    <w:rsid w:val="00075601"/>
    <w:rsid w:val="000771DE"/>
    <w:rsid w:val="000777C0"/>
    <w:rsid w:val="0008009F"/>
    <w:rsid w:val="000800A9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29E"/>
    <w:rsid w:val="000877E7"/>
    <w:rsid w:val="00087E9E"/>
    <w:rsid w:val="00090626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0BA"/>
    <w:rsid w:val="000968B9"/>
    <w:rsid w:val="00096C51"/>
    <w:rsid w:val="00096CBB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1ACB"/>
    <w:rsid w:val="000B26CC"/>
    <w:rsid w:val="000B2718"/>
    <w:rsid w:val="000B2D8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06D5"/>
    <w:rsid w:val="000C0B55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1E2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9A1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692"/>
    <w:rsid w:val="000D3767"/>
    <w:rsid w:val="000D3B11"/>
    <w:rsid w:val="000D3BBE"/>
    <w:rsid w:val="000D3FAF"/>
    <w:rsid w:val="000D4209"/>
    <w:rsid w:val="000D4CF3"/>
    <w:rsid w:val="000D5404"/>
    <w:rsid w:val="000D57E1"/>
    <w:rsid w:val="000D58B0"/>
    <w:rsid w:val="000D5F86"/>
    <w:rsid w:val="000D60B2"/>
    <w:rsid w:val="000D6793"/>
    <w:rsid w:val="000D69C8"/>
    <w:rsid w:val="000D73C4"/>
    <w:rsid w:val="000E063B"/>
    <w:rsid w:val="000E129C"/>
    <w:rsid w:val="000E191A"/>
    <w:rsid w:val="000E2179"/>
    <w:rsid w:val="000E251C"/>
    <w:rsid w:val="000E2B05"/>
    <w:rsid w:val="000E3086"/>
    <w:rsid w:val="000E308D"/>
    <w:rsid w:val="000E3976"/>
    <w:rsid w:val="000E3AD7"/>
    <w:rsid w:val="000E3F1B"/>
    <w:rsid w:val="000E4526"/>
    <w:rsid w:val="000E49F0"/>
    <w:rsid w:val="000E4C4E"/>
    <w:rsid w:val="000E4E46"/>
    <w:rsid w:val="000E536B"/>
    <w:rsid w:val="000E72E2"/>
    <w:rsid w:val="000E7791"/>
    <w:rsid w:val="000E798F"/>
    <w:rsid w:val="000E7AB3"/>
    <w:rsid w:val="000E7C37"/>
    <w:rsid w:val="000F05A3"/>
    <w:rsid w:val="000F09BF"/>
    <w:rsid w:val="000F18CC"/>
    <w:rsid w:val="000F1B6C"/>
    <w:rsid w:val="000F22B9"/>
    <w:rsid w:val="000F2AB9"/>
    <w:rsid w:val="000F2E02"/>
    <w:rsid w:val="000F2FAA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211"/>
    <w:rsid w:val="001025A7"/>
    <w:rsid w:val="0010276E"/>
    <w:rsid w:val="00102C0B"/>
    <w:rsid w:val="00104750"/>
    <w:rsid w:val="0010484E"/>
    <w:rsid w:val="00104ABC"/>
    <w:rsid w:val="00104F6B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382"/>
    <w:rsid w:val="001117C8"/>
    <w:rsid w:val="0011232C"/>
    <w:rsid w:val="0011234F"/>
    <w:rsid w:val="00112484"/>
    <w:rsid w:val="00112F2E"/>
    <w:rsid w:val="00113839"/>
    <w:rsid w:val="0011490C"/>
    <w:rsid w:val="00114A92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43E6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6F53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409"/>
    <w:rsid w:val="0014161A"/>
    <w:rsid w:val="0014168C"/>
    <w:rsid w:val="0014175A"/>
    <w:rsid w:val="001417A0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544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71F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467"/>
    <w:rsid w:val="0016763E"/>
    <w:rsid w:val="00167EB9"/>
    <w:rsid w:val="00170002"/>
    <w:rsid w:val="0017051E"/>
    <w:rsid w:val="001706B9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40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5BA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C39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4C"/>
    <w:rsid w:val="001943CA"/>
    <w:rsid w:val="00194B53"/>
    <w:rsid w:val="00194EAC"/>
    <w:rsid w:val="0019551E"/>
    <w:rsid w:val="0019558F"/>
    <w:rsid w:val="00195E80"/>
    <w:rsid w:val="00195F97"/>
    <w:rsid w:val="0019607A"/>
    <w:rsid w:val="001964BB"/>
    <w:rsid w:val="00196503"/>
    <w:rsid w:val="001971A8"/>
    <w:rsid w:val="00197E18"/>
    <w:rsid w:val="00197F01"/>
    <w:rsid w:val="001A033B"/>
    <w:rsid w:val="001A09C4"/>
    <w:rsid w:val="001A0B95"/>
    <w:rsid w:val="001A0F63"/>
    <w:rsid w:val="001A122C"/>
    <w:rsid w:val="001A15C4"/>
    <w:rsid w:val="001A1D4D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98D"/>
    <w:rsid w:val="001B1B11"/>
    <w:rsid w:val="001B2054"/>
    <w:rsid w:val="001B2376"/>
    <w:rsid w:val="001B2DDA"/>
    <w:rsid w:val="001B2EA6"/>
    <w:rsid w:val="001B3167"/>
    <w:rsid w:val="001B31A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73A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40B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D5E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030"/>
    <w:rsid w:val="001E4E41"/>
    <w:rsid w:val="001E4F01"/>
    <w:rsid w:val="001E5090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0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66B"/>
    <w:rsid w:val="00200839"/>
    <w:rsid w:val="00200A5C"/>
    <w:rsid w:val="00200CF9"/>
    <w:rsid w:val="002013D4"/>
    <w:rsid w:val="00201B19"/>
    <w:rsid w:val="00202093"/>
    <w:rsid w:val="0020233A"/>
    <w:rsid w:val="002023E9"/>
    <w:rsid w:val="0020277B"/>
    <w:rsid w:val="00202E9E"/>
    <w:rsid w:val="00203542"/>
    <w:rsid w:val="00203D16"/>
    <w:rsid w:val="00204414"/>
    <w:rsid w:val="0020449E"/>
    <w:rsid w:val="00204FDD"/>
    <w:rsid w:val="00204FE0"/>
    <w:rsid w:val="00205597"/>
    <w:rsid w:val="002058FF"/>
    <w:rsid w:val="00206241"/>
    <w:rsid w:val="002066C8"/>
    <w:rsid w:val="00206A76"/>
    <w:rsid w:val="00206AD7"/>
    <w:rsid w:val="00206EC8"/>
    <w:rsid w:val="00207946"/>
    <w:rsid w:val="00207E4F"/>
    <w:rsid w:val="00207F9B"/>
    <w:rsid w:val="00210207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4F54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427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1E2F"/>
    <w:rsid w:val="0023204E"/>
    <w:rsid w:val="00232452"/>
    <w:rsid w:val="0023281E"/>
    <w:rsid w:val="0023355A"/>
    <w:rsid w:val="002337F2"/>
    <w:rsid w:val="0023402F"/>
    <w:rsid w:val="00234687"/>
    <w:rsid w:val="00234CE3"/>
    <w:rsid w:val="00234FDC"/>
    <w:rsid w:val="00235244"/>
    <w:rsid w:val="002357C3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3C5E"/>
    <w:rsid w:val="00244640"/>
    <w:rsid w:val="0024492B"/>
    <w:rsid w:val="00244E3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099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248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DBF"/>
    <w:rsid w:val="00264F9B"/>
    <w:rsid w:val="00265084"/>
    <w:rsid w:val="00265E21"/>
    <w:rsid w:val="00266218"/>
    <w:rsid w:val="0026626F"/>
    <w:rsid w:val="00266563"/>
    <w:rsid w:val="00266A74"/>
    <w:rsid w:val="00267255"/>
    <w:rsid w:val="0027043C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77FC3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35D"/>
    <w:rsid w:val="00285EBD"/>
    <w:rsid w:val="00286451"/>
    <w:rsid w:val="00287F25"/>
    <w:rsid w:val="0029012F"/>
    <w:rsid w:val="00291168"/>
    <w:rsid w:val="002913A5"/>
    <w:rsid w:val="00291767"/>
    <w:rsid w:val="00292108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BB3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4EE1"/>
    <w:rsid w:val="002A5182"/>
    <w:rsid w:val="002A5305"/>
    <w:rsid w:val="002A5C7B"/>
    <w:rsid w:val="002A5CDC"/>
    <w:rsid w:val="002A5FBF"/>
    <w:rsid w:val="002A670F"/>
    <w:rsid w:val="002A7CE2"/>
    <w:rsid w:val="002A7F8B"/>
    <w:rsid w:val="002B0048"/>
    <w:rsid w:val="002B0162"/>
    <w:rsid w:val="002B0EAD"/>
    <w:rsid w:val="002B15F7"/>
    <w:rsid w:val="002B1F31"/>
    <w:rsid w:val="002B2058"/>
    <w:rsid w:val="002B2174"/>
    <w:rsid w:val="002B2431"/>
    <w:rsid w:val="002B2AC5"/>
    <w:rsid w:val="002B2B58"/>
    <w:rsid w:val="002B321E"/>
    <w:rsid w:val="002B3A76"/>
    <w:rsid w:val="002B3E1C"/>
    <w:rsid w:val="002B4252"/>
    <w:rsid w:val="002B458A"/>
    <w:rsid w:val="002B4CC4"/>
    <w:rsid w:val="002B570C"/>
    <w:rsid w:val="002B5A68"/>
    <w:rsid w:val="002B5B21"/>
    <w:rsid w:val="002B5BBE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17E"/>
    <w:rsid w:val="002C7586"/>
    <w:rsid w:val="002C780C"/>
    <w:rsid w:val="002C7E8E"/>
    <w:rsid w:val="002D0098"/>
    <w:rsid w:val="002D034D"/>
    <w:rsid w:val="002D0B9A"/>
    <w:rsid w:val="002D0D04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96D"/>
    <w:rsid w:val="002E5E90"/>
    <w:rsid w:val="002E5F5F"/>
    <w:rsid w:val="002E60A0"/>
    <w:rsid w:val="002E6869"/>
    <w:rsid w:val="002E69B6"/>
    <w:rsid w:val="002E7274"/>
    <w:rsid w:val="002E7E58"/>
    <w:rsid w:val="002F07A2"/>
    <w:rsid w:val="002F12E3"/>
    <w:rsid w:val="002F14CA"/>
    <w:rsid w:val="002F17A5"/>
    <w:rsid w:val="002F1A28"/>
    <w:rsid w:val="002F234B"/>
    <w:rsid w:val="002F241B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5A3A"/>
    <w:rsid w:val="002F66BB"/>
    <w:rsid w:val="002F686C"/>
    <w:rsid w:val="002F69E2"/>
    <w:rsid w:val="002F6CA5"/>
    <w:rsid w:val="002F71A9"/>
    <w:rsid w:val="002F7427"/>
    <w:rsid w:val="002F771B"/>
    <w:rsid w:val="002F7D2D"/>
    <w:rsid w:val="0030020F"/>
    <w:rsid w:val="00300738"/>
    <w:rsid w:val="00300C18"/>
    <w:rsid w:val="00301294"/>
    <w:rsid w:val="00302340"/>
    <w:rsid w:val="0030247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23F"/>
    <w:rsid w:val="0030536B"/>
    <w:rsid w:val="00305FA6"/>
    <w:rsid w:val="00306329"/>
    <w:rsid w:val="00306360"/>
    <w:rsid w:val="00306470"/>
    <w:rsid w:val="00306B1C"/>
    <w:rsid w:val="00307224"/>
    <w:rsid w:val="00307DF3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DC0"/>
    <w:rsid w:val="003228D3"/>
    <w:rsid w:val="00323257"/>
    <w:rsid w:val="003237D9"/>
    <w:rsid w:val="00323B2F"/>
    <w:rsid w:val="00324EFC"/>
    <w:rsid w:val="003252B1"/>
    <w:rsid w:val="003256F4"/>
    <w:rsid w:val="003268E1"/>
    <w:rsid w:val="00326A80"/>
    <w:rsid w:val="00326B85"/>
    <w:rsid w:val="00326ECA"/>
    <w:rsid w:val="00326F37"/>
    <w:rsid w:val="00327467"/>
    <w:rsid w:val="003276B3"/>
    <w:rsid w:val="003278E3"/>
    <w:rsid w:val="003300B5"/>
    <w:rsid w:val="003301C4"/>
    <w:rsid w:val="00330385"/>
    <w:rsid w:val="00330898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3EC"/>
    <w:rsid w:val="0033297E"/>
    <w:rsid w:val="00332B93"/>
    <w:rsid w:val="00332D0F"/>
    <w:rsid w:val="003337E0"/>
    <w:rsid w:val="00333A88"/>
    <w:rsid w:val="00333C52"/>
    <w:rsid w:val="00333E55"/>
    <w:rsid w:val="00334352"/>
    <w:rsid w:val="00334530"/>
    <w:rsid w:val="003345B8"/>
    <w:rsid w:val="003349E4"/>
    <w:rsid w:val="00334B4E"/>
    <w:rsid w:val="003350C3"/>
    <w:rsid w:val="00335AD2"/>
    <w:rsid w:val="0033633B"/>
    <w:rsid w:val="00336880"/>
    <w:rsid w:val="00336C9C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9ED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5031B"/>
    <w:rsid w:val="003506AD"/>
    <w:rsid w:val="003506BE"/>
    <w:rsid w:val="00350AB6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2B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4E16"/>
    <w:rsid w:val="00365F93"/>
    <w:rsid w:val="0036676E"/>
    <w:rsid w:val="00366C80"/>
    <w:rsid w:val="003671A5"/>
    <w:rsid w:val="003676DC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385"/>
    <w:rsid w:val="00375E7E"/>
    <w:rsid w:val="00376488"/>
    <w:rsid w:val="003767E1"/>
    <w:rsid w:val="003768B4"/>
    <w:rsid w:val="00377523"/>
    <w:rsid w:val="0037786A"/>
    <w:rsid w:val="00377A0D"/>
    <w:rsid w:val="00377D85"/>
    <w:rsid w:val="0038053C"/>
    <w:rsid w:val="00380626"/>
    <w:rsid w:val="00380AC1"/>
    <w:rsid w:val="00381075"/>
    <w:rsid w:val="00381636"/>
    <w:rsid w:val="003816B6"/>
    <w:rsid w:val="003816E0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896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0F13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5F0"/>
    <w:rsid w:val="00393890"/>
    <w:rsid w:val="00393931"/>
    <w:rsid w:val="00393CCB"/>
    <w:rsid w:val="00394758"/>
    <w:rsid w:val="003952CD"/>
    <w:rsid w:val="00395576"/>
    <w:rsid w:val="003956E0"/>
    <w:rsid w:val="003959BD"/>
    <w:rsid w:val="00395F62"/>
    <w:rsid w:val="00396235"/>
    <w:rsid w:val="00397D55"/>
    <w:rsid w:val="003A0D28"/>
    <w:rsid w:val="003A0F20"/>
    <w:rsid w:val="003A2AC1"/>
    <w:rsid w:val="003A2CA3"/>
    <w:rsid w:val="003A374E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62A"/>
    <w:rsid w:val="003B7F9D"/>
    <w:rsid w:val="003C0308"/>
    <w:rsid w:val="003C0AF6"/>
    <w:rsid w:val="003C0E3D"/>
    <w:rsid w:val="003C15A1"/>
    <w:rsid w:val="003C1796"/>
    <w:rsid w:val="003C18C0"/>
    <w:rsid w:val="003C1A99"/>
    <w:rsid w:val="003C20AA"/>
    <w:rsid w:val="003C267F"/>
    <w:rsid w:val="003C26D9"/>
    <w:rsid w:val="003C28A3"/>
    <w:rsid w:val="003C2FE7"/>
    <w:rsid w:val="003C346D"/>
    <w:rsid w:val="003C388E"/>
    <w:rsid w:val="003C3B0D"/>
    <w:rsid w:val="003C4C9D"/>
    <w:rsid w:val="003C5846"/>
    <w:rsid w:val="003C5CD0"/>
    <w:rsid w:val="003C5CF6"/>
    <w:rsid w:val="003C5E7B"/>
    <w:rsid w:val="003C5E83"/>
    <w:rsid w:val="003C618E"/>
    <w:rsid w:val="003C78AE"/>
    <w:rsid w:val="003C7AFF"/>
    <w:rsid w:val="003C7BDB"/>
    <w:rsid w:val="003C7FAA"/>
    <w:rsid w:val="003D0010"/>
    <w:rsid w:val="003D009D"/>
    <w:rsid w:val="003D02CC"/>
    <w:rsid w:val="003D0449"/>
    <w:rsid w:val="003D3CC6"/>
    <w:rsid w:val="003D3F0F"/>
    <w:rsid w:val="003D45FB"/>
    <w:rsid w:val="003D4F9C"/>
    <w:rsid w:val="003D5AE3"/>
    <w:rsid w:val="003D63F5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480A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13A"/>
    <w:rsid w:val="003F333B"/>
    <w:rsid w:val="003F3C45"/>
    <w:rsid w:val="003F438C"/>
    <w:rsid w:val="003F4BEF"/>
    <w:rsid w:val="003F4C47"/>
    <w:rsid w:val="003F4DBC"/>
    <w:rsid w:val="003F5727"/>
    <w:rsid w:val="003F5C00"/>
    <w:rsid w:val="003F63B2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79"/>
    <w:rsid w:val="00406FF6"/>
    <w:rsid w:val="00407EA8"/>
    <w:rsid w:val="00410460"/>
    <w:rsid w:val="00410F76"/>
    <w:rsid w:val="00410F92"/>
    <w:rsid w:val="0041116D"/>
    <w:rsid w:val="00411D25"/>
    <w:rsid w:val="00412055"/>
    <w:rsid w:val="00412195"/>
    <w:rsid w:val="004124B4"/>
    <w:rsid w:val="00413191"/>
    <w:rsid w:val="004132AD"/>
    <w:rsid w:val="004135C0"/>
    <w:rsid w:val="00413F1B"/>
    <w:rsid w:val="004141D2"/>
    <w:rsid w:val="0041447A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3F44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0CE7"/>
    <w:rsid w:val="0043166E"/>
    <w:rsid w:val="004318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4017A"/>
    <w:rsid w:val="004408EB"/>
    <w:rsid w:val="00440A4C"/>
    <w:rsid w:val="00440F0E"/>
    <w:rsid w:val="00441281"/>
    <w:rsid w:val="0044255E"/>
    <w:rsid w:val="0044354A"/>
    <w:rsid w:val="00443B9D"/>
    <w:rsid w:val="00444375"/>
    <w:rsid w:val="004444BA"/>
    <w:rsid w:val="004452CB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08E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7C3"/>
    <w:rsid w:val="00473923"/>
    <w:rsid w:val="00473B1A"/>
    <w:rsid w:val="00474122"/>
    <w:rsid w:val="0047460F"/>
    <w:rsid w:val="00474CEC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0EC9"/>
    <w:rsid w:val="00481490"/>
    <w:rsid w:val="00481786"/>
    <w:rsid w:val="0048189D"/>
    <w:rsid w:val="00482609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0A4"/>
    <w:rsid w:val="004865E7"/>
    <w:rsid w:val="0048697E"/>
    <w:rsid w:val="00486F87"/>
    <w:rsid w:val="00486F8E"/>
    <w:rsid w:val="00487614"/>
    <w:rsid w:val="00487A0C"/>
    <w:rsid w:val="00490AC6"/>
    <w:rsid w:val="00490BE4"/>
    <w:rsid w:val="00490F0E"/>
    <w:rsid w:val="0049112B"/>
    <w:rsid w:val="00491677"/>
    <w:rsid w:val="00491E14"/>
    <w:rsid w:val="0049235A"/>
    <w:rsid w:val="00492E1F"/>
    <w:rsid w:val="0049307C"/>
    <w:rsid w:val="00493994"/>
    <w:rsid w:val="004946CD"/>
    <w:rsid w:val="00495105"/>
    <w:rsid w:val="004958FA"/>
    <w:rsid w:val="00495956"/>
    <w:rsid w:val="004967E7"/>
    <w:rsid w:val="00496A01"/>
    <w:rsid w:val="00496BC4"/>
    <w:rsid w:val="00496FB7"/>
    <w:rsid w:val="00497037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463"/>
    <w:rsid w:val="004C36DF"/>
    <w:rsid w:val="004C3B0B"/>
    <w:rsid w:val="004C40B3"/>
    <w:rsid w:val="004C5050"/>
    <w:rsid w:val="004C5390"/>
    <w:rsid w:val="004C53F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B91"/>
    <w:rsid w:val="004D1CA5"/>
    <w:rsid w:val="004D2222"/>
    <w:rsid w:val="004D273D"/>
    <w:rsid w:val="004D2A3C"/>
    <w:rsid w:val="004D2DED"/>
    <w:rsid w:val="004D3CDB"/>
    <w:rsid w:val="004D3F67"/>
    <w:rsid w:val="004D52B6"/>
    <w:rsid w:val="004D52D0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0E4E"/>
    <w:rsid w:val="004E0F4D"/>
    <w:rsid w:val="004E1124"/>
    <w:rsid w:val="004E12DB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3AD"/>
    <w:rsid w:val="004E5650"/>
    <w:rsid w:val="004E59DE"/>
    <w:rsid w:val="004E5ABD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11F"/>
    <w:rsid w:val="004F2479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B60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706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3B10"/>
    <w:rsid w:val="005246E8"/>
    <w:rsid w:val="00524C66"/>
    <w:rsid w:val="00524C8A"/>
    <w:rsid w:val="0052526B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5A5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4E2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0A"/>
    <w:rsid w:val="005432A1"/>
    <w:rsid w:val="00544466"/>
    <w:rsid w:val="0054462C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36"/>
    <w:rsid w:val="0055184C"/>
    <w:rsid w:val="00551B40"/>
    <w:rsid w:val="00551E47"/>
    <w:rsid w:val="005527AF"/>
    <w:rsid w:val="00552F09"/>
    <w:rsid w:val="00552FEE"/>
    <w:rsid w:val="005530FC"/>
    <w:rsid w:val="0055324B"/>
    <w:rsid w:val="00554450"/>
    <w:rsid w:val="00554C86"/>
    <w:rsid w:val="00554D29"/>
    <w:rsid w:val="00556314"/>
    <w:rsid w:val="005564AC"/>
    <w:rsid w:val="0055725E"/>
    <w:rsid w:val="005574AE"/>
    <w:rsid w:val="005576BD"/>
    <w:rsid w:val="00557DA5"/>
    <w:rsid w:val="005604F7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1D7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4BC9"/>
    <w:rsid w:val="0057500B"/>
    <w:rsid w:val="005753FD"/>
    <w:rsid w:val="00576976"/>
    <w:rsid w:val="00576FE9"/>
    <w:rsid w:val="0057765A"/>
    <w:rsid w:val="005778CA"/>
    <w:rsid w:val="00580231"/>
    <w:rsid w:val="005804AD"/>
    <w:rsid w:val="0058231E"/>
    <w:rsid w:val="0058307D"/>
    <w:rsid w:val="00583B3A"/>
    <w:rsid w:val="00583F73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87C2E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3ABA"/>
    <w:rsid w:val="0059420B"/>
    <w:rsid w:val="00594965"/>
    <w:rsid w:val="00594F76"/>
    <w:rsid w:val="00595EEC"/>
    <w:rsid w:val="00595F93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4C67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0A"/>
    <w:rsid w:val="005B51AD"/>
    <w:rsid w:val="005B526E"/>
    <w:rsid w:val="005B5278"/>
    <w:rsid w:val="005B577D"/>
    <w:rsid w:val="005B595F"/>
    <w:rsid w:val="005B6000"/>
    <w:rsid w:val="005B64A0"/>
    <w:rsid w:val="005B7308"/>
    <w:rsid w:val="005B7921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7E"/>
    <w:rsid w:val="005C3781"/>
    <w:rsid w:val="005C3B11"/>
    <w:rsid w:val="005C3D94"/>
    <w:rsid w:val="005C434B"/>
    <w:rsid w:val="005C48D8"/>
    <w:rsid w:val="005C4B3A"/>
    <w:rsid w:val="005C4CFC"/>
    <w:rsid w:val="005C510B"/>
    <w:rsid w:val="005C5B6F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178"/>
    <w:rsid w:val="005E33CE"/>
    <w:rsid w:val="005E3721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6AD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3C5D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2CF"/>
    <w:rsid w:val="005F7407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28B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19E1"/>
    <w:rsid w:val="006222D6"/>
    <w:rsid w:val="006222F6"/>
    <w:rsid w:val="006227A9"/>
    <w:rsid w:val="00622863"/>
    <w:rsid w:val="0062297B"/>
    <w:rsid w:val="00623795"/>
    <w:rsid w:val="00623874"/>
    <w:rsid w:val="006244CC"/>
    <w:rsid w:val="00624B64"/>
    <w:rsid w:val="00624BC7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911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A56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3D6F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BC7"/>
    <w:rsid w:val="00667BFE"/>
    <w:rsid w:val="00667FA1"/>
    <w:rsid w:val="006707E1"/>
    <w:rsid w:val="00670BE9"/>
    <w:rsid w:val="00670D8A"/>
    <w:rsid w:val="00670F27"/>
    <w:rsid w:val="006710A7"/>
    <w:rsid w:val="00671517"/>
    <w:rsid w:val="00671867"/>
    <w:rsid w:val="006719BE"/>
    <w:rsid w:val="0067225C"/>
    <w:rsid w:val="00673653"/>
    <w:rsid w:val="00673A8F"/>
    <w:rsid w:val="00673BE2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673"/>
    <w:rsid w:val="00676AAB"/>
    <w:rsid w:val="00676BAF"/>
    <w:rsid w:val="00677135"/>
    <w:rsid w:val="006771F3"/>
    <w:rsid w:val="006772F4"/>
    <w:rsid w:val="006776A8"/>
    <w:rsid w:val="00677BD9"/>
    <w:rsid w:val="00677EF2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63C"/>
    <w:rsid w:val="00685A4C"/>
    <w:rsid w:val="00685E97"/>
    <w:rsid w:val="006865D0"/>
    <w:rsid w:val="00687192"/>
    <w:rsid w:val="00687280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E3E"/>
    <w:rsid w:val="00691F53"/>
    <w:rsid w:val="00692B55"/>
    <w:rsid w:val="0069316B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A26"/>
    <w:rsid w:val="006A0B64"/>
    <w:rsid w:val="006A0CD1"/>
    <w:rsid w:val="006A1385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2A6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5F74"/>
    <w:rsid w:val="006C6171"/>
    <w:rsid w:val="006C6372"/>
    <w:rsid w:val="006C69CA"/>
    <w:rsid w:val="006C71CB"/>
    <w:rsid w:val="006C734D"/>
    <w:rsid w:val="006C7D6B"/>
    <w:rsid w:val="006D151A"/>
    <w:rsid w:val="006D1583"/>
    <w:rsid w:val="006D192E"/>
    <w:rsid w:val="006D1DE9"/>
    <w:rsid w:val="006D20D9"/>
    <w:rsid w:val="006D26F3"/>
    <w:rsid w:val="006D2EA6"/>
    <w:rsid w:val="006D39A0"/>
    <w:rsid w:val="006D514F"/>
    <w:rsid w:val="006D543A"/>
    <w:rsid w:val="006D5BD7"/>
    <w:rsid w:val="006D5FDD"/>
    <w:rsid w:val="006D678C"/>
    <w:rsid w:val="006D6BAF"/>
    <w:rsid w:val="006D736A"/>
    <w:rsid w:val="006D7709"/>
    <w:rsid w:val="006D77B2"/>
    <w:rsid w:val="006D7855"/>
    <w:rsid w:val="006D7B3E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063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7BA"/>
    <w:rsid w:val="006F2921"/>
    <w:rsid w:val="006F2A93"/>
    <w:rsid w:val="006F2C61"/>
    <w:rsid w:val="006F2E84"/>
    <w:rsid w:val="006F333E"/>
    <w:rsid w:val="006F4B8D"/>
    <w:rsid w:val="006F4BB6"/>
    <w:rsid w:val="006F534F"/>
    <w:rsid w:val="006F680A"/>
    <w:rsid w:val="006F6D73"/>
    <w:rsid w:val="006F7545"/>
    <w:rsid w:val="006F757C"/>
    <w:rsid w:val="006F7F81"/>
    <w:rsid w:val="00700900"/>
    <w:rsid w:val="00700992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CF6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8ED"/>
    <w:rsid w:val="00714BA2"/>
    <w:rsid w:val="00715049"/>
    <w:rsid w:val="00715096"/>
    <w:rsid w:val="007158E0"/>
    <w:rsid w:val="00715A55"/>
    <w:rsid w:val="00716236"/>
    <w:rsid w:val="00716478"/>
    <w:rsid w:val="00716554"/>
    <w:rsid w:val="00716705"/>
    <w:rsid w:val="00716B94"/>
    <w:rsid w:val="007170EA"/>
    <w:rsid w:val="0071754F"/>
    <w:rsid w:val="0071785A"/>
    <w:rsid w:val="007179A0"/>
    <w:rsid w:val="00717AB3"/>
    <w:rsid w:val="00717C82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52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D06"/>
    <w:rsid w:val="007432AA"/>
    <w:rsid w:val="0074375A"/>
    <w:rsid w:val="00744714"/>
    <w:rsid w:val="007447F8"/>
    <w:rsid w:val="00744984"/>
    <w:rsid w:val="00744CFD"/>
    <w:rsid w:val="00745078"/>
    <w:rsid w:val="00745871"/>
    <w:rsid w:val="00745D39"/>
    <w:rsid w:val="00746133"/>
    <w:rsid w:val="00746F90"/>
    <w:rsid w:val="0074723F"/>
    <w:rsid w:val="00747889"/>
    <w:rsid w:val="00750C62"/>
    <w:rsid w:val="007510E3"/>
    <w:rsid w:val="00751140"/>
    <w:rsid w:val="00751BCD"/>
    <w:rsid w:val="0075204C"/>
    <w:rsid w:val="00752330"/>
    <w:rsid w:val="00753EF5"/>
    <w:rsid w:val="00753FC2"/>
    <w:rsid w:val="00754531"/>
    <w:rsid w:val="00754603"/>
    <w:rsid w:val="007547CB"/>
    <w:rsid w:val="00754A47"/>
    <w:rsid w:val="00754B61"/>
    <w:rsid w:val="007550B5"/>
    <w:rsid w:val="00755784"/>
    <w:rsid w:val="0075616A"/>
    <w:rsid w:val="007566C3"/>
    <w:rsid w:val="007566FD"/>
    <w:rsid w:val="00756C9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D0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BA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1D8E"/>
    <w:rsid w:val="00793875"/>
    <w:rsid w:val="00793C5A"/>
    <w:rsid w:val="00793E40"/>
    <w:rsid w:val="007946AD"/>
    <w:rsid w:val="00794BD9"/>
    <w:rsid w:val="00795648"/>
    <w:rsid w:val="00796F8D"/>
    <w:rsid w:val="0079702A"/>
    <w:rsid w:val="007976DD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65DD"/>
    <w:rsid w:val="007A7156"/>
    <w:rsid w:val="007A767C"/>
    <w:rsid w:val="007B0210"/>
    <w:rsid w:val="007B0286"/>
    <w:rsid w:val="007B02D8"/>
    <w:rsid w:val="007B078D"/>
    <w:rsid w:val="007B083F"/>
    <w:rsid w:val="007B08F3"/>
    <w:rsid w:val="007B093E"/>
    <w:rsid w:val="007B1830"/>
    <w:rsid w:val="007B1F53"/>
    <w:rsid w:val="007B24BD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32B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0DA8"/>
    <w:rsid w:val="007E0E3D"/>
    <w:rsid w:val="007E15E0"/>
    <w:rsid w:val="007E1669"/>
    <w:rsid w:val="007E22B5"/>
    <w:rsid w:val="007E2962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362"/>
    <w:rsid w:val="00801539"/>
    <w:rsid w:val="00801BB1"/>
    <w:rsid w:val="008027E7"/>
    <w:rsid w:val="0080283E"/>
    <w:rsid w:val="00802D6B"/>
    <w:rsid w:val="00803091"/>
    <w:rsid w:val="0080489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BB1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8D2"/>
    <w:rsid w:val="008320CA"/>
    <w:rsid w:val="00832A6C"/>
    <w:rsid w:val="00832AA7"/>
    <w:rsid w:val="00832B74"/>
    <w:rsid w:val="00832DE0"/>
    <w:rsid w:val="00833017"/>
    <w:rsid w:val="008335BA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318"/>
    <w:rsid w:val="008417D6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6E9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78F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47A8"/>
    <w:rsid w:val="0086518A"/>
    <w:rsid w:val="00865393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1ED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41EE"/>
    <w:rsid w:val="0088559B"/>
    <w:rsid w:val="0088561A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1C76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51EA"/>
    <w:rsid w:val="00895B2E"/>
    <w:rsid w:val="0089629A"/>
    <w:rsid w:val="00896A94"/>
    <w:rsid w:val="008970A3"/>
    <w:rsid w:val="00897DDC"/>
    <w:rsid w:val="008A0337"/>
    <w:rsid w:val="008A07F0"/>
    <w:rsid w:val="008A1106"/>
    <w:rsid w:val="008A1AB9"/>
    <w:rsid w:val="008A1FC0"/>
    <w:rsid w:val="008A2065"/>
    <w:rsid w:val="008A2368"/>
    <w:rsid w:val="008A2A02"/>
    <w:rsid w:val="008A2F6E"/>
    <w:rsid w:val="008A2FE9"/>
    <w:rsid w:val="008A38F0"/>
    <w:rsid w:val="008A3DAA"/>
    <w:rsid w:val="008A4130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048"/>
    <w:rsid w:val="008B059C"/>
    <w:rsid w:val="008B0615"/>
    <w:rsid w:val="008B0707"/>
    <w:rsid w:val="008B0D43"/>
    <w:rsid w:val="008B1351"/>
    <w:rsid w:val="008B13A0"/>
    <w:rsid w:val="008B1DDE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3B12"/>
    <w:rsid w:val="008B47E9"/>
    <w:rsid w:val="008B4821"/>
    <w:rsid w:val="008B4F70"/>
    <w:rsid w:val="008B4FC2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7142"/>
    <w:rsid w:val="008E0856"/>
    <w:rsid w:val="008E0866"/>
    <w:rsid w:val="008E1A72"/>
    <w:rsid w:val="008E1A91"/>
    <w:rsid w:val="008E2FD6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21B"/>
    <w:rsid w:val="0090068D"/>
    <w:rsid w:val="0090083C"/>
    <w:rsid w:val="00901360"/>
    <w:rsid w:val="00901616"/>
    <w:rsid w:val="00901CC9"/>
    <w:rsid w:val="00901FB8"/>
    <w:rsid w:val="009022AF"/>
    <w:rsid w:val="00902C0A"/>
    <w:rsid w:val="00902F13"/>
    <w:rsid w:val="00902FB3"/>
    <w:rsid w:val="0090321E"/>
    <w:rsid w:val="009032E8"/>
    <w:rsid w:val="0090341D"/>
    <w:rsid w:val="00903506"/>
    <w:rsid w:val="009035F9"/>
    <w:rsid w:val="009038BD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648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B42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1016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320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47D2"/>
    <w:rsid w:val="009456D1"/>
    <w:rsid w:val="00945D64"/>
    <w:rsid w:val="00945F26"/>
    <w:rsid w:val="00947145"/>
    <w:rsid w:val="00947AA9"/>
    <w:rsid w:val="00947FF8"/>
    <w:rsid w:val="0095021B"/>
    <w:rsid w:val="009508F6"/>
    <w:rsid w:val="0095192A"/>
    <w:rsid w:val="00951B74"/>
    <w:rsid w:val="00952558"/>
    <w:rsid w:val="00953AA5"/>
    <w:rsid w:val="00954347"/>
    <w:rsid w:val="009549C0"/>
    <w:rsid w:val="00954ADC"/>
    <w:rsid w:val="00954CD2"/>
    <w:rsid w:val="009553A0"/>
    <w:rsid w:val="00955B39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AE2"/>
    <w:rsid w:val="00961432"/>
    <w:rsid w:val="00961819"/>
    <w:rsid w:val="009618FD"/>
    <w:rsid w:val="00961BC4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A54"/>
    <w:rsid w:val="00965C92"/>
    <w:rsid w:val="00966052"/>
    <w:rsid w:val="00966075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108"/>
    <w:rsid w:val="00972273"/>
    <w:rsid w:val="0097254A"/>
    <w:rsid w:val="009728E5"/>
    <w:rsid w:val="00972E1E"/>
    <w:rsid w:val="009730AF"/>
    <w:rsid w:val="00973A39"/>
    <w:rsid w:val="00973DA9"/>
    <w:rsid w:val="00974042"/>
    <w:rsid w:val="00975112"/>
    <w:rsid w:val="009751C7"/>
    <w:rsid w:val="00975244"/>
    <w:rsid w:val="009753FF"/>
    <w:rsid w:val="00975440"/>
    <w:rsid w:val="00975710"/>
    <w:rsid w:val="0097594E"/>
    <w:rsid w:val="00975E73"/>
    <w:rsid w:val="0097678B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149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551"/>
    <w:rsid w:val="00986A94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5F3B"/>
    <w:rsid w:val="009960BE"/>
    <w:rsid w:val="009961AD"/>
    <w:rsid w:val="009966FF"/>
    <w:rsid w:val="00996A1B"/>
    <w:rsid w:val="0099780E"/>
    <w:rsid w:val="009978A5"/>
    <w:rsid w:val="0099794D"/>
    <w:rsid w:val="009A05A5"/>
    <w:rsid w:val="009A0788"/>
    <w:rsid w:val="009A0A98"/>
    <w:rsid w:val="009A1004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B00FA"/>
    <w:rsid w:val="009B02E2"/>
    <w:rsid w:val="009B0333"/>
    <w:rsid w:val="009B0463"/>
    <w:rsid w:val="009B0A97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C14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0D3C"/>
    <w:rsid w:val="009C131C"/>
    <w:rsid w:val="009C1B78"/>
    <w:rsid w:val="009C1E13"/>
    <w:rsid w:val="009C2038"/>
    <w:rsid w:val="009C2107"/>
    <w:rsid w:val="009C2EA0"/>
    <w:rsid w:val="009C31B1"/>
    <w:rsid w:val="009C3526"/>
    <w:rsid w:val="009C3A3E"/>
    <w:rsid w:val="009C3D93"/>
    <w:rsid w:val="009C4A0C"/>
    <w:rsid w:val="009C4B15"/>
    <w:rsid w:val="009C5043"/>
    <w:rsid w:val="009C5284"/>
    <w:rsid w:val="009C598E"/>
    <w:rsid w:val="009C615F"/>
    <w:rsid w:val="009C6188"/>
    <w:rsid w:val="009C66E7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56B"/>
    <w:rsid w:val="009D1C5D"/>
    <w:rsid w:val="009D1E0D"/>
    <w:rsid w:val="009D2849"/>
    <w:rsid w:val="009D365A"/>
    <w:rsid w:val="009D3BB6"/>
    <w:rsid w:val="009D4507"/>
    <w:rsid w:val="009D471C"/>
    <w:rsid w:val="009D4A58"/>
    <w:rsid w:val="009D5601"/>
    <w:rsid w:val="009D570B"/>
    <w:rsid w:val="009D5B56"/>
    <w:rsid w:val="009D5DF7"/>
    <w:rsid w:val="009D67E5"/>
    <w:rsid w:val="009D6B75"/>
    <w:rsid w:val="009D6FC5"/>
    <w:rsid w:val="009D78B6"/>
    <w:rsid w:val="009D7FB6"/>
    <w:rsid w:val="009D7FC0"/>
    <w:rsid w:val="009E016B"/>
    <w:rsid w:val="009E0198"/>
    <w:rsid w:val="009E02E2"/>
    <w:rsid w:val="009E10FD"/>
    <w:rsid w:val="009E18CC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AFA"/>
    <w:rsid w:val="009F6C8C"/>
    <w:rsid w:val="009F765A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579"/>
    <w:rsid w:val="00A0166A"/>
    <w:rsid w:val="00A01B52"/>
    <w:rsid w:val="00A01D7C"/>
    <w:rsid w:val="00A021C9"/>
    <w:rsid w:val="00A02330"/>
    <w:rsid w:val="00A02588"/>
    <w:rsid w:val="00A03060"/>
    <w:rsid w:val="00A03597"/>
    <w:rsid w:val="00A035E7"/>
    <w:rsid w:val="00A03721"/>
    <w:rsid w:val="00A03AEC"/>
    <w:rsid w:val="00A03B7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B1D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0C2"/>
    <w:rsid w:val="00A22CC2"/>
    <w:rsid w:val="00A22DDD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3F8"/>
    <w:rsid w:val="00A308E6"/>
    <w:rsid w:val="00A30A3D"/>
    <w:rsid w:val="00A30A6E"/>
    <w:rsid w:val="00A30C30"/>
    <w:rsid w:val="00A30D80"/>
    <w:rsid w:val="00A3281F"/>
    <w:rsid w:val="00A329C9"/>
    <w:rsid w:val="00A32ADF"/>
    <w:rsid w:val="00A32DE9"/>
    <w:rsid w:val="00A32FAC"/>
    <w:rsid w:val="00A330C6"/>
    <w:rsid w:val="00A333EC"/>
    <w:rsid w:val="00A341CD"/>
    <w:rsid w:val="00A34B62"/>
    <w:rsid w:val="00A356B6"/>
    <w:rsid w:val="00A356FA"/>
    <w:rsid w:val="00A35B86"/>
    <w:rsid w:val="00A35ED2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570D"/>
    <w:rsid w:val="00A457F0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749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3D7"/>
    <w:rsid w:val="00A565AD"/>
    <w:rsid w:val="00A56E3C"/>
    <w:rsid w:val="00A577E8"/>
    <w:rsid w:val="00A57E00"/>
    <w:rsid w:val="00A602B5"/>
    <w:rsid w:val="00A6172B"/>
    <w:rsid w:val="00A6175A"/>
    <w:rsid w:val="00A61847"/>
    <w:rsid w:val="00A620A9"/>
    <w:rsid w:val="00A623C4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6C4B"/>
    <w:rsid w:val="00A66C8E"/>
    <w:rsid w:val="00A67A32"/>
    <w:rsid w:val="00A7016B"/>
    <w:rsid w:val="00A70209"/>
    <w:rsid w:val="00A70AD6"/>
    <w:rsid w:val="00A717A1"/>
    <w:rsid w:val="00A71DBD"/>
    <w:rsid w:val="00A720AA"/>
    <w:rsid w:val="00A7245C"/>
    <w:rsid w:val="00A72634"/>
    <w:rsid w:val="00A72722"/>
    <w:rsid w:val="00A7273D"/>
    <w:rsid w:val="00A72B63"/>
    <w:rsid w:val="00A72BC6"/>
    <w:rsid w:val="00A73ACF"/>
    <w:rsid w:val="00A73C96"/>
    <w:rsid w:val="00A73E6F"/>
    <w:rsid w:val="00A73E83"/>
    <w:rsid w:val="00A744A8"/>
    <w:rsid w:val="00A745E5"/>
    <w:rsid w:val="00A74E2A"/>
    <w:rsid w:val="00A75C5C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89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4E"/>
    <w:rsid w:val="00A91CAD"/>
    <w:rsid w:val="00A91CF2"/>
    <w:rsid w:val="00A91F17"/>
    <w:rsid w:val="00A91F32"/>
    <w:rsid w:val="00A92B8C"/>
    <w:rsid w:val="00A92DFE"/>
    <w:rsid w:val="00A92E16"/>
    <w:rsid w:val="00A92E2B"/>
    <w:rsid w:val="00A93774"/>
    <w:rsid w:val="00A93AE5"/>
    <w:rsid w:val="00A93C60"/>
    <w:rsid w:val="00A9402E"/>
    <w:rsid w:val="00A94405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C8E"/>
    <w:rsid w:val="00AA0E52"/>
    <w:rsid w:val="00AA100C"/>
    <w:rsid w:val="00AA133F"/>
    <w:rsid w:val="00AA19C6"/>
    <w:rsid w:val="00AA1B7E"/>
    <w:rsid w:val="00AA211D"/>
    <w:rsid w:val="00AA21D6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129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10AC"/>
    <w:rsid w:val="00AB1519"/>
    <w:rsid w:val="00AB19E1"/>
    <w:rsid w:val="00AB1AE6"/>
    <w:rsid w:val="00AB1B19"/>
    <w:rsid w:val="00AB1E3C"/>
    <w:rsid w:val="00AB22A3"/>
    <w:rsid w:val="00AB27FB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497"/>
    <w:rsid w:val="00AC25ED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7C3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6FE0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C21"/>
    <w:rsid w:val="00AF0048"/>
    <w:rsid w:val="00AF00DF"/>
    <w:rsid w:val="00AF01D1"/>
    <w:rsid w:val="00AF02B1"/>
    <w:rsid w:val="00AF1505"/>
    <w:rsid w:val="00AF1BCC"/>
    <w:rsid w:val="00AF1D84"/>
    <w:rsid w:val="00AF2455"/>
    <w:rsid w:val="00AF26D1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346"/>
    <w:rsid w:val="00B03571"/>
    <w:rsid w:val="00B03740"/>
    <w:rsid w:val="00B03A8E"/>
    <w:rsid w:val="00B04187"/>
    <w:rsid w:val="00B04599"/>
    <w:rsid w:val="00B04676"/>
    <w:rsid w:val="00B04B6A"/>
    <w:rsid w:val="00B04ED4"/>
    <w:rsid w:val="00B051D3"/>
    <w:rsid w:val="00B051D4"/>
    <w:rsid w:val="00B0530F"/>
    <w:rsid w:val="00B0575C"/>
    <w:rsid w:val="00B06145"/>
    <w:rsid w:val="00B06285"/>
    <w:rsid w:val="00B0658C"/>
    <w:rsid w:val="00B0674E"/>
    <w:rsid w:val="00B06C94"/>
    <w:rsid w:val="00B06CC3"/>
    <w:rsid w:val="00B06DBA"/>
    <w:rsid w:val="00B0712F"/>
    <w:rsid w:val="00B071A1"/>
    <w:rsid w:val="00B0754E"/>
    <w:rsid w:val="00B07684"/>
    <w:rsid w:val="00B1086E"/>
    <w:rsid w:val="00B11427"/>
    <w:rsid w:val="00B11686"/>
    <w:rsid w:val="00B11948"/>
    <w:rsid w:val="00B11DC2"/>
    <w:rsid w:val="00B11ECF"/>
    <w:rsid w:val="00B12370"/>
    <w:rsid w:val="00B12EBB"/>
    <w:rsid w:val="00B1314E"/>
    <w:rsid w:val="00B13454"/>
    <w:rsid w:val="00B13953"/>
    <w:rsid w:val="00B1424A"/>
    <w:rsid w:val="00B14916"/>
    <w:rsid w:val="00B14B30"/>
    <w:rsid w:val="00B14BD0"/>
    <w:rsid w:val="00B14D4C"/>
    <w:rsid w:val="00B151A2"/>
    <w:rsid w:val="00B153D9"/>
    <w:rsid w:val="00B15519"/>
    <w:rsid w:val="00B1598E"/>
    <w:rsid w:val="00B159D4"/>
    <w:rsid w:val="00B165D5"/>
    <w:rsid w:val="00B16F60"/>
    <w:rsid w:val="00B17179"/>
    <w:rsid w:val="00B1785B"/>
    <w:rsid w:val="00B17D27"/>
    <w:rsid w:val="00B208BA"/>
    <w:rsid w:val="00B211B4"/>
    <w:rsid w:val="00B21371"/>
    <w:rsid w:val="00B21615"/>
    <w:rsid w:val="00B21654"/>
    <w:rsid w:val="00B22223"/>
    <w:rsid w:val="00B22EC0"/>
    <w:rsid w:val="00B23352"/>
    <w:rsid w:val="00B23389"/>
    <w:rsid w:val="00B234C8"/>
    <w:rsid w:val="00B23F3A"/>
    <w:rsid w:val="00B2464D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0"/>
    <w:rsid w:val="00B30928"/>
    <w:rsid w:val="00B3099D"/>
    <w:rsid w:val="00B30B84"/>
    <w:rsid w:val="00B30B86"/>
    <w:rsid w:val="00B31382"/>
    <w:rsid w:val="00B32E47"/>
    <w:rsid w:val="00B33314"/>
    <w:rsid w:val="00B3359A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BF7"/>
    <w:rsid w:val="00B4438B"/>
    <w:rsid w:val="00B449A9"/>
    <w:rsid w:val="00B44C91"/>
    <w:rsid w:val="00B455C1"/>
    <w:rsid w:val="00B457D8"/>
    <w:rsid w:val="00B458F1"/>
    <w:rsid w:val="00B45F24"/>
    <w:rsid w:val="00B4669F"/>
    <w:rsid w:val="00B46825"/>
    <w:rsid w:val="00B469DE"/>
    <w:rsid w:val="00B47102"/>
    <w:rsid w:val="00B473D6"/>
    <w:rsid w:val="00B47889"/>
    <w:rsid w:val="00B478B2"/>
    <w:rsid w:val="00B47FF7"/>
    <w:rsid w:val="00B50643"/>
    <w:rsid w:val="00B5091F"/>
    <w:rsid w:val="00B51352"/>
    <w:rsid w:val="00B516B6"/>
    <w:rsid w:val="00B517D3"/>
    <w:rsid w:val="00B51C56"/>
    <w:rsid w:val="00B51D36"/>
    <w:rsid w:val="00B51D5E"/>
    <w:rsid w:val="00B51EFD"/>
    <w:rsid w:val="00B51F8C"/>
    <w:rsid w:val="00B52673"/>
    <w:rsid w:val="00B5300B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1FE"/>
    <w:rsid w:val="00B5554E"/>
    <w:rsid w:val="00B556DB"/>
    <w:rsid w:val="00B55C3E"/>
    <w:rsid w:val="00B55C8D"/>
    <w:rsid w:val="00B55D5C"/>
    <w:rsid w:val="00B563A1"/>
    <w:rsid w:val="00B567BD"/>
    <w:rsid w:val="00B57027"/>
    <w:rsid w:val="00B570F0"/>
    <w:rsid w:val="00B572CB"/>
    <w:rsid w:val="00B609FD"/>
    <w:rsid w:val="00B61396"/>
    <w:rsid w:val="00B614D1"/>
    <w:rsid w:val="00B61918"/>
    <w:rsid w:val="00B61B0B"/>
    <w:rsid w:val="00B6260A"/>
    <w:rsid w:val="00B62836"/>
    <w:rsid w:val="00B6345D"/>
    <w:rsid w:val="00B63673"/>
    <w:rsid w:val="00B6445C"/>
    <w:rsid w:val="00B64571"/>
    <w:rsid w:val="00B64647"/>
    <w:rsid w:val="00B64AD0"/>
    <w:rsid w:val="00B64B72"/>
    <w:rsid w:val="00B64BE4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6AA"/>
    <w:rsid w:val="00B718C0"/>
    <w:rsid w:val="00B72030"/>
    <w:rsid w:val="00B7228B"/>
    <w:rsid w:val="00B72578"/>
    <w:rsid w:val="00B72626"/>
    <w:rsid w:val="00B7265B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772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033"/>
    <w:rsid w:val="00B95BE1"/>
    <w:rsid w:val="00B95E85"/>
    <w:rsid w:val="00B9600A"/>
    <w:rsid w:val="00B966C9"/>
    <w:rsid w:val="00B97478"/>
    <w:rsid w:val="00B97CCB"/>
    <w:rsid w:val="00B97F18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5D5A"/>
    <w:rsid w:val="00BA650C"/>
    <w:rsid w:val="00BA69D4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21E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12"/>
    <w:rsid w:val="00BC7DB8"/>
    <w:rsid w:val="00BD0009"/>
    <w:rsid w:val="00BD0035"/>
    <w:rsid w:val="00BD0065"/>
    <w:rsid w:val="00BD0766"/>
    <w:rsid w:val="00BD0DF7"/>
    <w:rsid w:val="00BD1059"/>
    <w:rsid w:val="00BD161D"/>
    <w:rsid w:val="00BD1C88"/>
    <w:rsid w:val="00BD1E2E"/>
    <w:rsid w:val="00BD2138"/>
    <w:rsid w:val="00BD221B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8AB"/>
    <w:rsid w:val="00BD6F1A"/>
    <w:rsid w:val="00BD708F"/>
    <w:rsid w:val="00BD74AF"/>
    <w:rsid w:val="00BD7B7A"/>
    <w:rsid w:val="00BE167A"/>
    <w:rsid w:val="00BE1A2F"/>
    <w:rsid w:val="00BE287D"/>
    <w:rsid w:val="00BE2AFA"/>
    <w:rsid w:val="00BE2E81"/>
    <w:rsid w:val="00BE357F"/>
    <w:rsid w:val="00BE3B7E"/>
    <w:rsid w:val="00BE3F78"/>
    <w:rsid w:val="00BE445E"/>
    <w:rsid w:val="00BE44B2"/>
    <w:rsid w:val="00BE67ED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2910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A37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2A1"/>
    <w:rsid w:val="00C14308"/>
    <w:rsid w:val="00C14642"/>
    <w:rsid w:val="00C15342"/>
    <w:rsid w:val="00C15F08"/>
    <w:rsid w:val="00C171D7"/>
    <w:rsid w:val="00C203AA"/>
    <w:rsid w:val="00C21300"/>
    <w:rsid w:val="00C217A5"/>
    <w:rsid w:val="00C21D08"/>
    <w:rsid w:val="00C22233"/>
    <w:rsid w:val="00C228AE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33"/>
    <w:rsid w:val="00C26A9C"/>
    <w:rsid w:val="00C275BA"/>
    <w:rsid w:val="00C27C66"/>
    <w:rsid w:val="00C300A6"/>
    <w:rsid w:val="00C3071D"/>
    <w:rsid w:val="00C30ECD"/>
    <w:rsid w:val="00C30F7A"/>
    <w:rsid w:val="00C31510"/>
    <w:rsid w:val="00C31A2D"/>
    <w:rsid w:val="00C323A9"/>
    <w:rsid w:val="00C32A21"/>
    <w:rsid w:val="00C32D5B"/>
    <w:rsid w:val="00C335B8"/>
    <w:rsid w:val="00C33D35"/>
    <w:rsid w:val="00C34009"/>
    <w:rsid w:val="00C34BAD"/>
    <w:rsid w:val="00C35629"/>
    <w:rsid w:val="00C35CDE"/>
    <w:rsid w:val="00C35F82"/>
    <w:rsid w:val="00C3649B"/>
    <w:rsid w:val="00C36801"/>
    <w:rsid w:val="00C36C2D"/>
    <w:rsid w:val="00C37039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49E"/>
    <w:rsid w:val="00C425EF"/>
    <w:rsid w:val="00C42E9C"/>
    <w:rsid w:val="00C43018"/>
    <w:rsid w:val="00C4334F"/>
    <w:rsid w:val="00C433B3"/>
    <w:rsid w:val="00C43C35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2AF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882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67F"/>
    <w:rsid w:val="00C617AE"/>
    <w:rsid w:val="00C617C4"/>
    <w:rsid w:val="00C62029"/>
    <w:rsid w:val="00C62054"/>
    <w:rsid w:val="00C621E3"/>
    <w:rsid w:val="00C623F2"/>
    <w:rsid w:val="00C62CD2"/>
    <w:rsid w:val="00C63F1E"/>
    <w:rsid w:val="00C64950"/>
    <w:rsid w:val="00C65145"/>
    <w:rsid w:val="00C65499"/>
    <w:rsid w:val="00C658DC"/>
    <w:rsid w:val="00C66BAD"/>
    <w:rsid w:val="00C66D8A"/>
    <w:rsid w:val="00C66EEE"/>
    <w:rsid w:val="00C67430"/>
    <w:rsid w:val="00C677D4"/>
    <w:rsid w:val="00C67909"/>
    <w:rsid w:val="00C67C9C"/>
    <w:rsid w:val="00C70195"/>
    <w:rsid w:val="00C70BAA"/>
    <w:rsid w:val="00C70E83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867"/>
    <w:rsid w:val="00C76BEA"/>
    <w:rsid w:val="00C76FB6"/>
    <w:rsid w:val="00C77270"/>
    <w:rsid w:val="00C772E4"/>
    <w:rsid w:val="00C77748"/>
    <w:rsid w:val="00C779EB"/>
    <w:rsid w:val="00C80A26"/>
    <w:rsid w:val="00C80A6F"/>
    <w:rsid w:val="00C80FA4"/>
    <w:rsid w:val="00C817CA"/>
    <w:rsid w:val="00C81815"/>
    <w:rsid w:val="00C819F3"/>
    <w:rsid w:val="00C8206F"/>
    <w:rsid w:val="00C82AF0"/>
    <w:rsid w:val="00C82E64"/>
    <w:rsid w:val="00C82F76"/>
    <w:rsid w:val="00C83763"/>
    <w:rsid w:val="00C83AF1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48A"/>
    <w:rsid w:val="00C9332F"/>
    <w:rsid w:val="00C93598"/>
    <w:rsid w:val="00C93CF8"/>
    <w:rsid w:val="00C941A5"/>
    <w:rsid w:val="00C9454F"/>
    <w:rsid w:val="00C949EB"/>
    <w:rsid w:val="00C94BBC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228"/>
    <w:rsid w:val="00CA195A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4EAE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7F8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03"/>
    <w:rsid w:val="00CB3BA3"/>
    <w:rsid w:val="00CB41BC"/>
    <w:rsid w:val="00CB42B6"/>
    <w:rsid w:val="00CB4823"/>
    <w:rsid w:val="00CB4ADC"/>
    <w:rsid w:val="00CB4C3D"/>
    <w:rsid w:val="00CB540D"/>
    <w:rsid w:val="00CB5593"/>
    <w:rsid w:val="00CB5C7E"/>
    <w:rsid w:val="00CB5D54"/>
    <w:rsid w:val="00CB65B0"/>
    <w:rsid w:val="00CB69D4"/>
    <w:rsid w:val="00CB6D5A"/>
    <w:rsid w:val="00CB7435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6E8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30"/>
    <w:rsid w:val="00CD799B"/>
    <w:rsid w:val="00CD7BD9"/>
    <w:rsid w:val="00CE014E"/>
    <w:rsid w:val="00CE05D6"/>
    <w:rsid w:val="00CE062D"/>
    <w:rsid w:val="00CE0694"/>
    <w:rsid w:val="00CE1010"/>
    <w:rsid w:val="00CE12D8"/>
    <w:rsid w:val="00CE17BE"/>
    <w:rsid w:val="00CE1E0D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B45"/>
    <w:rsid w:val="00CE73FC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871"/>
    <w:rsid w:val="00CF3976"/>
    <w:rsid w:val="00CF3FFA"/>
    <w:rsid w:val="00CF44C2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0F76"/>
    <w:rsid w:val="00D01058"/>
    <w:rsid w:val="00D01060"/>
    <w:rsid w:val="00D01222"/>
    <w:rsid w:val="00D01AE2"/>
    <w:rsid w:val="00D01CBF"/>
    <w:rsid w:val="00D02291"/>
    <w:rsid w:val="00D0253B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7CB"/>
    <w:rsid w:val="00D12B20"/>
    <w:rsid w:val="00D12DAA"/>
    <w:rsid w:val="00D12EEA"/>
    <w:rsid w:val="00D130DF"/>
    <w:rsid w:val="00D1344F"/>
    <w:rsid w:val="00D1420B"/>
    <w:rsid w:val="00D14434"/>
    <w:rsid w:val="00D1451B"/>
    <w:rsid w:val="00D146EE"/>
    <w:rsid w:val="00D148E7"/>
    <w:rsid w:val="00D14E13"/>
    <w:rsid w:val="00D15219"/>
    <w:rsid w:val="00D153BD"/>
    <w:rsid w:val="00D16173"/>
    <w:rsid w:val="00D16495"/>
    <w:rsid w:val="00D167A1"/>
    <w:rsid w:val="00D16918"/>
    <w:rsid w:val="00D16A9C"/>
    <w:rsid w:val="00D16DF9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2F3B"/>
    <w:rsid w:val="00D235A1"/>
    <w:rsid w:val="00D249BB"/>
    <w:rsid w:val="00D24EE9"/>
    <w:rsid w:val="00D24EFD"/>
    <w:rsid w:val="00D25A07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0F"/>
    <w:rsid w:val="00D36B50"/>
    <w:rsid w:val="00D3711D"/>
    <w:rsid w:val="00D37279"/>
    <w:rsid w:val="00D37550"/>
    <w:rsid w:val="00D37CAD"/>
    <w:rsid w:val="00D37EF7"/>
    <w:rsid w:val="00D4005E"/>
    <w:rsid w:val="00D40114"/>
    <w:rsid w:val="00D40AD3"/>
    <w:rsid w:val="00D40DE9"/>
    <w:rsid w:val="00D40F95"/>
    <w:rsid w:val="00D4150E"/>
    <w:rsid w:val="00D4205F"/>
    <w:rsid w:val="00D42589"/>
    <w:rsid w:val="00D4316D"/>
    <w:rsid w:val="00D4375C"/>
    <w:rsid w:val="00D44196"/>
    <w:rsid w:val="00D442E1"/>
    <w:rsid w:val="00D44384"/>
    <w:rsid w:val="00D44923"/>
    <w:rsid w:val="00D44E12"/>
    <w:rsid w:val="00D451E0"/>
    <w:rsid w:val="00D45542"/>
    <w:rsid w:val="00D456E7"/>
    <w:rsid w:val="00D45D2E"/>
    <w:rsid w:val="00D45FF0"/>
    <w:rsid w:val="00D465CF"/>
    <w:rsid w:val="00D468EE"/>
    <w:rsid w:val="00D46EF3"/>
    <w:rsid w:val="00D470F9"/>
    <w:rsid w:val="00D47110"/>
    <w:rsid w:val="00D4731B"/>
    <w:rsid w:val="00D47AD3"/>
    <w:rsid w:val="00D47BE7"/>
    <w:rsid w:val="00D505FC"/>
    <w:rsid w:val="00D50730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7AB"/>
    <w:rsid w:val="00D52C1B"/>
    <w:rsid w:val="00D53BB5"/>
    <w:rsid w:val="00D540BE"/>
    <w:rsid w:val="00D547D0"/>
    <w:rsid w:val="00D54BA8"/>
    <w:rsid w:val="00D56103"/>
    <w:rsid w:val="00D56343"/>
    <w:rsid w:val="00D565CD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4E4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2D9"/>
    <w:rsid w:val="00D64381"/>
    <w:rsid w:val="00D644A0"/>
    <w:rsid w:val="00D6500E"/>
    <w:rsid w:val="00D65331"/>
    <w:rsid w:val="00D65344"/>
    <w:rsid w:val="00D656C3"/>
    <w:rsid w:val="00D65914"/>
    <w:rsid w:val="00D66077"/>
    <w:rsid w:val="00D6627C"/>
    <w:rsid w:val="00D6675D"/>
    <w:rsid w:val="00D679A6"/>
    <w:rsid w:val="00D704E6"/>
    <w:rsid w:val="00D7086D"/>
    <w:rsid w:val="00D70A03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7A"/>
    <w:rsid w:val="00D758CB"/>
    <w:rsid w:val="00D75A72"/>
    <w:rsid w:val="00D75ADB"/>
    <w:rsid w:val="00D7633C"/>
    <w:rsid w:val="00D76738"/>
    <w:rsid w:val="00D76BA0"/>
    <w:rsid w:val="00D774E1"/>
    <w:rsid w:val="00D80D93"/>
    <w:rsid w:val="00D80E1F"/>
    <w:rsid w:val="00D81343"/>
    <w:rsid w:val="00D8247D"/>
    <w:rsid w:val="00D825A8"/>
    <w:rsid w:val="00D82793"/>
    <w:rsid w:val="00D830A8"/>
    <w:rsid w:val="00D832CF"/>
    <w:rsid w:val="00D83858"/>
    <w:rsid w:val="00D8389E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D16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60D"/>
    <w:rsid w:val="00D939E1"/>
    <w:rsid w:val="00D94663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97BDE"/>
    <w:rsid w:val="00DA026C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846"/>
    <w:rsid w:val="00DA3919"/>
    <w:rsid w:val="00DA43CD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23A"/>
    <w:rsid w:val="00DB052D"/>
    <w:rsid w:val="00DB1895"/>
    <w:rsid w:val="00DB1B6B"/>
    <w:rsid w:val="00DB1B93"/>
    <w:rsid w:val="00DB2271"/>
    <w:rsid w:val="00DB2A1A"/>
    <w:rsid w:val="00DB35AA"/>
    <w:rsid w:val="00DB35F7"/>
    <w:rsid w:val="00DB3628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39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026"/>
    <w:rsid w:val="00DC484D"/>
    <w:rsid w:val="00DC4BC8"/>
    <w:rsid w:val="00DC56F0"/>
    <w:rsid w:val="00DC5F5F"/>
    <w:rsid w:val="00DC66A9"/>
    <w:rsid w:val="00DC67D3"/>
    <w:rsid w:val="00DC69AE"/>
    <w:rsid w:val="00DC6C5B"/>
    <w:rsid w:val="00DC6D77"/>
    <w:rsid w:val="00DC7B1D"/>
    <w:rsid w:val="00DC7C92"/>
    <w:rsid w:val="00DC7D05"/>
    <w:rsid w:val="00DD0651"/>
    <w:rsid w:val="00DD090C"/>
    <w:rsid w:val="00DD0F49"/>
    <w:rsid w:val="00DD1034"/>
    <w:rsid w:val="00DD13D1"/>
    <w:rsid w:val="00DD148E"/>
    <w:rsid w:val="00DD1AF0"/>
    <w:rsid w:val="00DD1C79"/>
    <w:rsid w:val="00DD38C5"/>
    <w:rsid w:val="00DD3D2D"/>
    <w:rsid w:val="00DD3FFC"/>
    <w:rsid w:val="00DD4513"/>
    <w:rsid w:val="00DD4760"/>
    <w:rsid w:val="00DD4A8B"/>
    <w:rsid w:val="00DD5042"/>
    <w:rsid w:val="00DD5BF7"/>
    <w:rsid w:val="00DD5FFA"/>
    <w:rsid w:val="00DD6041"/>
    <w:rsid w:val="00DD68F4"/>
    <w:rsid w:val="00DD73DE"/>
    <w:rsid w:val="00DD7950"/>
    <w:rsid w:val="00DE059B"/>
    <w:rsid w:val="00DE07AA"/>
    <w:rsid w:val="00DE13AF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9D2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284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63"/>
    <w:rsid w:val="00E042F2"/>
    <w:rsid w:val="00E04EBD"/>
    <w:rsid w:val="00E05385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0C2B"/>
    <w:rsid w:val="00E1106F"/>
    <w:rsid w:val="00E1176C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72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3B86"/>
    <w:rsid w:val="00E24058"/>
    <w:rsid w:val="00E242C6"/>
    <w:rsid w:val="00E24B92"/>
    <w:rsid w:val="00E25451"/>
    <w:rsid w:val="00E257DB"/>
    <w:rsid w:val="00E260A8"/>
    <w:rsid w:val="00E266C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3DBB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9DD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5F3"/>
    <w:rsid w:val="00E447E2"/>
    <w:rsid w:val="00E44CCA"/>
    <w:rsid w:val="00E45170"/>
    <w:rsid w:val="00E457B8"/>
    <w:rsid w:val="00E4608D"/>
    <w:rsid w:val="00E4624B"/>
    <w:rsid w:val="00E4643E"/>
    <w:rsid w:val="00E46770"/>
    <w:rsid w:val="00E46C8C"/>
    <w:rsid w:val="00E473BD"/>
    <w:rsid w:val="00E478BB"/>
    <w:rsid w:val="00E47BA3"/>
    <w:rsid w:val="00E50609"/>
    <w:rsid w:val="00E50892"/>
    <w:rsid w:val="00E50BA2"/>
    <w:rsid w:val="00E51080"/>
    <w:rsid w:val="00E514D4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A06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4E6A"/>
    <w:rsid w:val="00E6520A"/>
    <w:rsid w:val="00E65C95"/>
    <w:rsid w:val="00E6603E"/>
    <w:rsid w:val="00E66084"/>
    <w:rsid w:val="00E66C86"/>
    <w:rsid w:val="00E66CE9"/>
    <w:rsid w:val="00E66F94"/>
    <w:rsid w:val="00E673CB"/>
    <w:rsid w:val="00E67709"/>
    <w:rsid w:val="00E67D5C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068"/>
    <w:rsid w:val="00E7528D"/>
    <w:rsid w:val="00E752E0"/>
    <w:rsid w:val="00E7549A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0E7F"/>
    <w:rsid w:val="00E81CD8"/>
    <w:rsid w:val="00E823DA"/>
    <w:rsid w:val="00E8360C"/>
    <w:rsid w:val="00E840F4"/>
    <w:rsid w:val="00E84BCB"/>
    <w:rsid w:val="00E84DEB"/>
    <w:rsid w:val="00E850FB"/>
    <w:rsid w:val="00E854BF"/>
    <w:rsid w:val="00E855F9"/>
    <w:rsid w:val="00E85B2C"/>
    <w:rsid w:val="00E85BBE"/>
    <w:rsid w:val="00E85E3C"/>
    <w:rsid w:val="00E8600B"/>
    <w:rsid w:val="00E86611"/>
    <w:rsid w:val="00E86978"/>
    <w:rsid w:val="00E86BF0"/>
    <w:rsid w:val="00E86F6E"/>
    <w:rsid w:val="00E877C8"/>
    <w:rsid w:val="00E87BD4"/>
    <w:rsid w:val="00E9047C"/>
    <w:rsid w:val="00E904EF"/>
    <w:rsid w:val="00E90500"/>
    <w:rsid w:val="00E90C76"/>
    <w:rsid w:val="00E9168E"/>
    <w:rsid w:val="00E9178B"/>
    <w:rsid w:val="00E91A34"/>
    <w:rsid w:val="00E92765"/>
    <w:rsid w:val="00E92772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654"/>
    <w:rsid w:val="00EA0B94"/>
    <w:rsid w:val="00EA0BF7"/>
    <w:rsid w:val="00EA103F"/>
    <w:rsid w:val="00EA1E67"/>
    <w:rsid w:val="00EA2E65"/>
    <w:rsid w:val="00EA3382"/>
    <w:rsid w:val="00EA35A2"/>
    <w:rsid w:val="00EA3D42"/>
    <w:rsid w:val="00EA41C8"/>
    <w:rsid w:val="00EA471A"/>
    <w:rsid w:val="00EA4819"/>
    <w:rsid w:val="00EA4A87"/>
    <w:rsid w:val="00EA4F42"/>
    <w:rsid w:val="00EA5B11"/>
    <w:rsid w:val="00EA5F27"/>
    <w:rsid w:val="00EA615D"/>
    <w:rsid w:val="00EA6568"/>
    <w:rsid w:val="00EA6DC4"/>
    <w:rsid w:val="00EA7189"/>
    <w:rsid w:val="00EA75CB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6AFE"/>
    <w:rsid w:val="00EB7DAC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C71FF"/>
    <w:rsid w:val="00EC7815"/>
    <w:rsid w:val="00EC7A56"/>
    <w:rsid w:val="00ED08EA"/>
    <w:rsid w:val="00ED0A00"/>
    <w:rsid w:val="00ED0C26"/>
    <w:rsid w:val="00ED0E87"/>
    <w:rsid w:val="00ED1758"/>
    <w:rsid w:val="00ED21E2"/>
    <w:rsid w:val="00ED2D0F"/>
    <w:rsid w:val="00ED2EB8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1FE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848"/>
    <w:rsid w:val="00EE5A12"/>
    <w:rsid w:val="00EE5ADE"/>
    <w:rsid w:val="00EE5F92"/>
    <w:rsid w:val="00EE63B2"/>
    <w:rsid w:val="00EE69C6"/>
    <w:rsid w:val="00EE6C0B"/>
    <w:rsid w:val="00EE79BC"/>
    <w:rsid w:val="00EE7C1D"/>
    <w:rsid w:val="00EF00C5"/>
    <w:rsid w:val="00EF0636"/>
    <w:rsid w:val="00EF14C9"/>
    <w:rsid w:val="00EF15B0"/>
    <w:rsid w:val="00EF1A3B"/>
    <w:rsid w:val="00EF1E4D"/>
    <w:rsid w:val="00EF2133"/>
    <w:rsid w:val="00EF22A0"/>
    <w:rsid w:val="00EF23AB"/>
    <w:rsid w:val="00EF25F1"/>
    <w:rsid w:val="00EF2DAB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44C"/>
    <w:rsid w:val="00F10989"/>
    <w:rsid w:val="00F10B75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36DC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2FED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37E4E"/>
    <w:rsid w:val="00F40581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702"/>
    <w:rsid w:val="00F458DF"/>
    <w:rsid w:val="00F47970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470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4487"/>
    <w:rsid w:val="00F644C7"/>
    <w:rsid w:val="00F64F30"/>
    <w:rsid w:val="00F653B0"/>
    <w:rsid w:val="00F65AB1"/>
    <w:rsid w:val="00F65B93"/>
    <w:rsid w:val="00F66100"/>
    <w:rsid w:val="00F66630"/>
    <w:rsid w:val="00F66741"/>
    <w:rsid w:val="00F667D2"/>
    <w:rsid w:val="00F67E65"/>
    <w:rsid w:val="00F70137"/>
    <w:rsid w:val="00F71821"/>
    <w:rsid w:val="00F71E59"/>
    <w:rsid w:val="00F7222B"/>
    <w:rsid w:val="00F727C7"/>
    <w:rsid w:val="00F72A79"/>
    <w:rsid w:val="00F72C94"/>
    <w:rsid w:val="00F72DA8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715"/>
    <w:rsid w:val="00F7598F"/>
    <w:rsid w:val="00F75FDE"/>
    <w:rsid w:val="00F761C9"/>
    <w:rsid w:val="00F76AE4"/>
    <w:rsid w:val="00F76FD0"/>
    <w:rsid w:val="00F7737E"/>
    <w:rsid w:val="00F77707"/>
    <w:rsid w:val="00F8088D"/>
    <w:rsid w:val="00F80B72"/>
    <w:rsid w:val="00F80D6F"/>
    <w:rsid w:val="00F80FBE"/>
    <w:rsid w:val="00F81A21"/>
    <w:rsid w:val="00F81C28"/>
    <w:rsid w:val="00F81F19"/>
    <w:rsid w:val="00F81F59"/>
    <w:rsid w:val="00F82972"/>
    <w:rsid w:val="00F829B5"/>
    <w:rsid w:val="00F82F8F"/>
    <w:rsid w:val="00F830AC"/>
    <w:rsid w:val="00F8399B"/>
    <w:rsid w:val="00F83B78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3F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10C4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8FD"/>
    <w:rsid w:val="00FB0A99"/>
    <w:rsid w:val="00FB0F17"/>
    <w:rsid w:val="00FB105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117"/>
    <w:rsid w:val="00FC2B31"/>
    <w:rsid w:val="00FC33B9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44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2E9"/>
    <w:rsid w:val="00FD1F76"/>
    <w:rsid w:val="00FD250C"/>
    <w:rsid w:val="00FD2BD2"/>
    <w:rsid w:val="00FD32C2"/>
    <w:rsid w:val="00FD34CE"/>
    <w:rsid w:val="00FD43DB"/>
    <w:rsid w:val="00FD4755"/>
    <w:rsid w:val="00FD5758"/>
    <w:rsid w:val="00FD577E"/>
    <w:rsid w:val="00FD5FBE"/>
    <w:rsid w:val="00FD6135"/>
    <w:rsid w:val="00FD66D8"/>
    <w:rsid w:val="00FD672C"/>
    <w:rsid w:val="00FD6A30"/>
    <w:rsid w:val="00FD6C06"/>
    <w:rsid w:val="00FD707A"/>
    <w:rsid w:val="00FD716A"/>
    <w:rsid w:val="00FD7788"/>
    <w:rsid w:val="00FD7F6A"/>
    <w:rsid w:val="00FE0310"/>
    <w:rsid w:val="00FE0933"/>
    <w:rsid w:val="00FE165F"/>
    <w:rsid w:val="00FE18CD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6E3"/>
    <w:rsid w:val="00FF2CC8"/>
    <w:rsid w:val="00FF32F6"/>
    <w:rsid w:val="00FF3513"/>
    <w:rsid w:val="00FF3624"/>
    <w:rsid w:val="00FF3723"/>
    <w:rsid w:val="00FF3E4E"/>
    <w:rsid w:val="00FF420B"/>
    <w:rsid w:val="00FF44A6"/>
    <w:rsid w:val="00FF4682"/>
    <w:rsid w:val="00FF5365"/>
    <w:rsid w:val="00FF577D"/>
    <w:rsid w:val="00FF5D9D"/>
    <w:rsid w:val="00FF5E86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65CD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565CD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565CD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565CD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565CD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D565CD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D565CD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D565CD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D565CD"/>
    <w:rPr>
      <w:sz w:val="24"/>
      <w:lang w:eastAsia="es-ES"/>
    </w:rPr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565C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565CD"/>
    <w:rPr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65CD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565CD"/>
    <w:rPr>
      <w:sz w:val="24"/>
      <w:lang w:eastAsia="es-ES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565CD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uiPriority w:val="99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565C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565CD"/>
    <w:rPr>
      <w:b/>
      <w:bCs/>
      <w:lang w:eastAsia="es-ES"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565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A5"/>
    <w:uiPriority w:val="99"/>
    <w:rsid w:val="00204FDD"/>
    <w:rPr>
      <w:color w:val="000000"/>
      <w:sz w:val="22"/>
      <w:szCs w:val="22"/>
    </w:rPr>
  </w:style>
  <w:style w:type="paragraph" w:customStyle="1" w:styleId="Texto">
    <w:name w:val="Texto"/>
    <w:basedOn w:val="Normal"/>
    <w:link w:val="TextoCar"/>
    <w:qFormat/>
    <w:rsid w:val="00204FDD"/>
    <w:pPr>
      <w:spacing w:after="101" w:line="216" w:lineRule="exact"/>
      <w:ind w:firstLine="288"/>
      <w:jc w:val="both"/>
    </w:pPr>
    <w:rPr>
      <w:rFonts w:ascii="Arial" w:hAnsi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204FDD"/>
    <w:rPr>
      <w:rFonts w:ascii="Arial" w:hAnsi="Arial"/>
      <w:sz w:val="18"/>
      <w:lang w:val="es-ES"/>
    </w:rPr>
  </w:style>
  <w:style w:type="character" w:styleId="Hipervnculovisitado">
    <w:name w:val="FollowedHyperlink"/>
    <w:basedOn w:val="Fuentedeprrafopredeter"/>
    <w:rsid w:val="006F27BA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locked/>
    <w:rsid w:val="00641911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0">
    <w:name w:val="CharacterStyle0"/>
    <w:hidden/>
    <w:rsid w:val="00EC71FF"/>
    <w:rPr>
      <w:rFonts w:ascii="Arial" w:eastAsia="Arial" w:hAnsi="Arial" w:cs="Arial"/>
      <w:b/>
      <w:i w:val="0"/>
      <w:noProof/>
      <w:color w:val="000000"/>
      <w:sz w:val="18"/>
      <w:szCs w:val="18"/>
      <w:u w:val="none"/>
    </w:rPr>
  </w:style>
  <w:style w:type="paragraph" w:customStyle="1" w:styleId="ParagraphStyle7">
    <w:name w:val="ParagraphStyle7"/>
    <w:hidden/>
    <w:rsid w:val="00EC71FF"/>
    <w:pPr>
      <w:ind w:left="28" w:right="28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8">
    <w:name w:val="ParagraphStyle8"/>
    <w:hidden/>
    <w:rsid w:val="00EC71FF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9">
    <w:name w:val="ParagraphStyle9"/>
    <w:hidden/>
    <w:rsid w:val="00EC71FF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0">
    <w:name w:val="ParagraphStyle10"/>
    <w:hidden/>
    <w:rsid w:val="00EC71FF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1">
    <w:name w:val="ParagraphStyle11"/>
    <w:hidden/>
    <w:rsid w:val="00EC71FF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2">
    <w:name w:val="ParagraphStyle12"/>
    <w:hidden/>
    <w:rsid w:val="00EC71FF"/>
    <w:pPr>
      <w:ind w:left="28" w:right="28"/>
      <w:jc w:val="both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3">
    <w:name w:val="ParagraphStyle13"/>
    <w:hidden/>
    <w:rsid w:val="00EC71FF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paragraph" w:customStyle="1" w:styleId="ParagraphStyle14">
    <w:name w:val="ParagraphStyle14"/>
    <w:hidden/>
    <w:rsid w:val="00EC71FF"/>
    <w:pPr>
      <w:ind w:left="28" w:right="28"/>
      <w:jc w:val="center"/>
    </w:pPr>
    <w:rPr>
      <w:rFonts w:ascii="Calibri" w:eastAsia="Calibri" w:hAnsi="Calibri" w:cs="Calibri"/>
      <w:sz w:val="22"/>
      <w:szCs w:val="22"/>
      <w:lang w:val="es-ES" w:eastAsia="es-ES"/>
    </w:rPr>
  </w:style>
  <w:style w:type="character" w:customStyle="1" w:styleId="FakeCharacterStyle">
    <w:name w:val="FakeCharacterStyle"/>
    <w:hidden/>
    <w:rsid w:val="00EC71FF"/>
    <w:rPr>
      <w:sz w:val="1"/>
      <w:szCs w:val="1"/>
    </w:rPr>
  </w:style>
  <w:style w:type="character" w:customStyle="1" w:styleId="CharacterStyle4">
    <w:name w:val="CharacterStyle4"/>
    <w:hidden/>
    <w:rsid w:val="00EC71FF"/>
    <w:rPr>
      <w:rFonts w:ascii="Arial" w:eastAsia="Arial" w:hAnsi="Arial" w:cs="Arial"/>
      <w:b/>
      <w:i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sid w:val="00EC71FF"/>
    <w:rPr>
      <w:rFonts w:ascii="Arial" w:eastAsia="Arial" w:hAnsi="Arial" w:cs="Arial"/>
      <w:b/>
      <w:i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sid w:val="00EC71FF"/>
    <w:rPr>
      <w:rFonts w:ascii="Arial" w:eastAsia="Arial" w:hAnsi="Arial" w:cs="Arial"/>
      <w:b/>
      <w:i w:val="0"/>
      <w:noProof/>
      <w:color w:val="000000"/>
      <w:sz w:val="18"/>
      <w:szCs w:val="18"/>
      <w:u w:val="none"/>
    </w:rPr>
  </w:style>
  <w:style w:type="character" w:customStyle="1" w:styleId="CharacterStyle7">
    <w:name w:val="CharacterStyle7"/>
    <w:hidden/>
    <w:rsid w:val="00EC71FF"/>
    <w:rPr>
      <w:rFonts w:ascii="Arial" w:eastAsia="Arial" w:hAnsi="Arial" w:cs="Arial"/>
      <w:b/>
      <w:i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sid w:val="00EC71FF"/>
    <w:rPr>
      <w:rFonts w:ascii="Arial" w:eastAsia="Arial" w:hAnsi="Arial" w:cs="Arial"/>
      <w:b w:val="0"/>
      <w:i w:val="0"/>
      <w:noProof/>
      <w:color w:val="000000"/>
      <w:sz w:val="18"/>
      <w:szCs w:val="18"/>
      <w:u w:val="none"/>
    </w:rPr>
  </w:style>
  <w:style w:type="character" w:customStyle="1" w:styleId="CharacterStyle9">
    <w:name w:val="CharacterStyle9"/>
    <w:hidden/>
    <w:rsid w:val="00EC71FF"/>
    <w:rPr>
      <w:rFonts w:ascii="Arial" w:eastAsia="Arial" w:hAnsi="Arial" w:cs="Arial"/>
      <w:b w:val="0"/>
      <w:i w:val="0"/>
      <w:noProof/>
      <w:color w:val="000000"/>
      <w:sz w:val="18"/>
      <w:szCs w:val="18"/>
      <w:u w:val="none"/>
    </w:rPr>
  </w:style>
  <w:style w:type="character" w:customStyle="1" w:styleId="CharacterStyle10">
    <w:name w:val="CharacterStyle10"/>
    <w:hidden/>
    <w:rsid w:val="00EC71FF"/>
    <w:rPr>
      <w:rFonts w:ascii="Arial" w:eastAsia="Arial" w:hAnsi="Arial" w:cs="Arial"/>
      <w:b w:val="0"/>
      <w:i w:val="0"/>
      <w:noProof/>
      <w:color w:val="000000"/>
      <w:sz w:val="18"/>
      <w:szCs w:val="18"/>
      <w:u w:val="none"/>
    </w:rPr>
  </w:style>
  <w:style w:type="character" w:customStyle="1" w:styleId="CharacterStyle11">
    <w:name w:val="CharacterStyle11"/>
    <w:hidden/>
    <w:rsid w:val="00EC71FF"/>
    <w:rPr>
      <w:rFonts w:ascii="Arial" w:eastAsia="Arial" w:hAnsi="Arial" w:cs="Arial"/>
      <w:b w:val="0"/>
      <w:i w:val="0"/>
      <w:noProof/>
      <w:color w:val="000000"/>
      <w:sz w:val="19"/>
      <w:szCs w:val="19"/>
      <w:u w:val="none"/>
    </w:rPr>
  </w:style>
  <w:style w:type="character" w:customStyle="1" w:styleId="TextonotapieCar">
    <w:name w:val="Texto nota pie Car"/>
    <w:basedOn w:val="Fuentedeprrafopredeter"/>
    <w:link w:val="Textonotapie"/>
    <w:rsid w:val="00B64AD0"/>
    <w:rPr>
      <w:rFonts w:ascii="Calibri" w:eastAsia="Calibri" w:hAnsi="Calibri" w:cs="Calibri"/>
      <w:lang w:val="es-ES" w:eastAsia="es-ES"/>
    </w:rPr>
  </w:style>
  <w:style w:type="paragraph" w:styleId="Textonotapie">
    <w:name w:val="footnote text"/>
    <w:link w:val="TextonotapieCar"/>
    <w:rsid w:val="00B64AD0"/>
    <w:rPr>
      <w:rFonts w:ascii="Calibri" w:eastAsia="Calibri" w:hAnsi="Calibri" w:cs="Calibri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64AD0"/>
    <w:rPr>
      <w:rFonts w:ascii="Calibri" w:eastAsia="Calibri" w:hAnsi="Calibri" w:cs="Calibri"/>
      <w:lang w:val="es-ES" w:eastAsia="es-ES"/>
    </w:rPr>
  </w:style>
  <w:style w:type="paragraph" w:styleId="Textonotaalfinal">
    <w:name w:val="endnote text"/>
    <w:link w:val="TextonotaalfinalCar"/>
    <w:rsid w:val="00B64AD0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FE7F-1E2D-485E-84B4-4A9C5138F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6976</Words>
  <Characters>38372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45258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Rene Gomez Hernandez</cp:lastModifiedBy>
  <cp:revision>8</cp:revision>
  <cp:lastPrinted>2024-02-16T15:22:00Z</cp:lastPrinted>
  <dcterms:created xsi:type="dcterms:W3CDTF">2024-02-15T14:12:00Z</dcterms:created>
  <dcterms:modified xsi:type="dcterms:W3CDTF">2024-02-16T15:27:00Z</dcterms:modified>
</cp:coreProperties>
</file>